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DC7621" w14:textId="77777777" w:rsidR="007B6108" w:rsidRPr="007B6108" w:rsidRDefault="007B6108" w:rsidP="007B6108">
      <w:pPr>
        <w:shd w:val="clear" w:color="auto" w:fill="FFFFFF" w:themeFill="background1"/>
        <w:spacing w:after="0" w:line="240" w:lineRule="auto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Date: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September 25, 2026</w:t>
      </w:r>
    </w:p>
    <w:p w14:paraId="12023810" w14:textId="77777777" w:rsidR="007B6108" w:rsidRDefault="007B6108" w:rsidP="007B6108">
      <w:pPr>
        <w:shd w:val="clear" w:color="auto" w:fill="FFFFFF" w:themeFill="background1"/>
        <w:spacing w:after="0" w:line="240" w:lineRule="auto"/>
        <w:rPr>
          <w:rFonts w:eastAsia="Times New Roman"/>
          <w:b/>
          <w:bCs/>
          <w:color w:val="101010"/>
          <w:kern w:val="0"/>
          <w:lang w:eastAsia="en-GB"/>
          <w14:ligatures w14:val="none"/>
        </w:rPr>
      </w:pPr>
    </w:p>
    <w:p w14:paraId="6BACD582" w14:textId="0770EB5E" w:rsidR="007B6108" w:rsidRPr="007B6108" w:rsidRDefault="007B6108" w:rsidP="007B6108">
      <w:pPr>
        <w:shd w:val="clear" w:color="auto" w:fill="FFFFFF" w:themeFill="background1"/>
        <w:spacing w:after="0" w:line="240" w:lineRule="auto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To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The Editor-in-Chief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Ecological Indicators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Elsevier Science</w:t>
      </w:r>
    </w:p>
    <w:p w14:paraId="7B05BCFF" w14:textId="77777777" w:rsid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b/>
          <w:bCs/>
          <w:color w:val="101010"/>
          <w:kern w:val="0"/>
          <w:lang w:eastAsia="en-GB"/>
          <w14:ligatures w14:val="none"/>
        </w:rPr>
      </w:pPr>
    </w:p>
    <w:p w14:paraId="6087D04A" w14:textId="201905F1" w:rsidR="007B6108" w:rsidRP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Subject: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Submission of Manuscript — </w:t>
      </w: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“Seasonal Sentinel-2 greenness dynamics around mining-disturbed forest quadrats in central India: an evidence-constrained pilot analysis”</w:t>
      </w:r>
    </w:p>
    <w:p w14:paraId="554E8EA8" w14:textId="04B0E0ED" w:rsidR="007B6108" w:rsidRP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kern w:val="0"/>
          <w:lang w:eastAsia="en-GB"/>
          <w14:ligatures w14:val="none"/>
        </w:rPr>
      </w:pPr>
    </w:p>
    <w:p w14:paraId="41C3B2D3" w14:textId="77777777" w:rsidR="007B6108" w:rsidRP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Dear Editor-in-Chief,</w:t>
      </w:r>
    </w:p>
    <w:p w14:paraId="57AB2052" w14:textId="77777777" w:rsid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</w:p>
    <w:p w14:paraId="0BB022CB" w14:textId="69690121" w:rsidR="007B6108" w:rsidRPr="007B6108" w:rsidRDefault="007B6108" w:rsidP="007B6108">
      <w:pPr>
        <w:shd w:val="clear" w:color="auto" w:fill="FFFFFF" w:themeFill="background1"/>
        <w:spacing w:after="0" w:line="240" w:lineRule="auto"/>
        <w:ind w:firstLine="720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On behalf of all co-authors, I am pleased to submit our research paper entitled </w:t>
      </w: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“Seasonal Sentinel-2 greenness dynamics around mining-disturbed forest quadrats in central India: an evidence-constrained pilot analysis”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 xml:space="preserve"> for consideration for publication in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Ecological Indicators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.</w:t>
      </w:r>
    </w:p>
    <w:p w14:paraId="7F338CED" w14:textId="77777777" w:rsidR="007B6108" w:rsidRDefault="007B6108" w:rsidP="007B6108">
      <w:pPr>
        <w:shd w:val="clear" w:color="auto" w:fill="FFFFFF" w:themeFill="background1"/>
        <w:spacing w:before="180" w:after="6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Scientific Context and Rationale</w:t>
      </w:r>
    </w:p>
    <w:p w14:paraId="373F5D4E" w14:textId="77777777" w:rsidR="007B6108" w:rsidRPr="007B6108" w:rsidRDefault="007B6108" w:rsidP="007B6108">
      <w:pPr>
        <w:shd w:val="clear" w:color="auto" w:fill="FFFFFF" w:themeFill="background1"/>
        <w:spacing w:before="180" w:after="6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</w:p>
    <w:p w14:paraId="77B24F5D" w14:textId="77777777" w:rsidR="007B6108" w:rsidRPr="007B6108" w:rsidRDefault="007B6108" w:rsidP="007B6108">
      <w:pPr>
        <w:shd w:val="clear" w:color="auto" w:fill="FFFFFF" w:themeFill="background1"/>
        <w:spacing w:after="0" w:line="240" w:lineRule="auto"/>
        <w:ind w:firstLine="720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Post-mining ecological restoration monitoring in tropical landscapes increasingly relies on medium-resolution Earth observation platforms such as Copernicus Sentinel-2. However, a widespread challenge in the restoration literature is the tendency to attribute pixel-level spectral trajectories to isolated vertical strata (e.g., asserting remote deconvolution of herbaceous ground flushes from woody shrubs) without contemporaneous, sub-pixel botanical ground validation.</w:t>
      </w:r>
    </w:p>
    <w:p w14:paraId="0E9B98F3" w14:textId="77777777" w:rsidR="007B6108" w:rsidRPr="007B6108" w:rsidRDefault="007B6108" w:rsidP="007B6108">
      <w:pPr>
        <w:shd w:val="clear" w:color="auto" w:fill="FFFFFF" w:themeFill="background1"/>
        <w:spacing w:after="0" w:line="240" w:lineRule="auto"/>
        <w:ind w:firstLine="720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In this study, we present an evidence-constrained pilot methodology evaluating multi-temporal Sentinel-2 Level-2A Bottom-of-Atmosphere (BOA) surface reflectance across 2024 around ten published 10 × 10 m field quadrats in the Korba coalfield of Chhattisgarh, India—comparing five underground remnant forest stands against five opencast overburden reclamation stands.</w:t>
      </w:r>
    </w:p>
    <w:p w14:paraId="024766FE" w14:textId="77777777" w:rsidR="007B6108" w:rsidRPr="007B6108" w:rsidRDefault="007B6108" w:rsidP="007B6108">
      <w:pPr>
        <w:shd w:val="clear" w:color="auto" w:fill="FFFFFF" w:themeFill="background1"/>
        <w:spacing w:after="0" w:line="240" w:lineRule="auto"/>
        <w:ind w:firstLine="720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 xml:space="preserve">Rather than overinterpreting composite pixels as species- or stratum-specific measurements, our work establishes an audited, transparent framework that links satellite greenness trajectories directly to an explicit ground evidence hierarchy while </w:t>
      </w:r>
      <w:proofErr w:type="spellStart"/>
      <w:r w:rsidRPr="007B6108">
        <w:rPr>
          <w:rFonts w:eastAsia="Times New Roman"/>
          <w:color w:val="101010"/>
          <w:kern w:val="0"/>
          <w:lang w:eastAsia="en-GB"/>
          <w14:ligatures w14:val="none"/>
        </w:rPr>
        <w:t>modeling</w:t>
      </w:r>
      <w:proofErr w:type="spellEnd"/>
      <w:r w:rsidRPr="007B6108">
        <w:rPr>
          <w:rFonts w:eastAsia="Times New Roman"/>
          <w:color w:val="101010"/>
          <w:kern w:val="0"/>
          <w:lang w:eastAsia="en-GB"/>
          <w14:ligatures w14:val="none"/>
        </w:rPr>
        <w:t xml:space="preserve"> the highest standards of scientific restraint.</w:t>
      </w:r>
    </w:p>
    <w:p w14:paraId="0846C10B" w14:textId="77777777" w:rsidR="007B6108" w:rsidRDefault="007B6108" w:rsidP="007B6108">
      <w:pPr>
        <w:shd w:val="clear" w:color="auto" w:fill="FFFFFF" w:themeFill="background1"/>
        <w:spacing w:before="180" w:after="6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Principal Contributions of this Work</w:t>
      </w:r>
    </w:p>
    <w:p w14:paraId="4906DEC1" w14:textId="77777777" w:rsidR="007B6108" w:rsidRPr="007B6108" w:rsidRDefault="007B6108" w:rsidP="007B6108">
      <w:pPr>
        <w:shd w:val="clear" w:color="auto" w:fill="FFFFFF" w:themeFill="background1"/>
        <w:spacing w:before="180" w:after="6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</w:p>
    <w:p w14:paraId="1D688144" w14:textId="77777777" w:rsidR="007B6108" w:rsidRPr="007B6108" w:rsidRDefault="007B6108" w:rsidP="007B610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Audited Three-Tier Ground Evidence Standard: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We enforce a strict separation between empirical ground truth and contextual leads:</w:t>
      </w:r>
    </w:p>
    <w:p w14:paraId="4D33D600" w14:textId="77777777" w:rsidR="007B6108" w:rsidRPr="007B6108" w:rsidRDefault="007B6108" w:rsidP="007B6108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Tier 1 (Empirical Stem Census):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58 verified in-plot woody stems (</w:t>
      </w:r>
      <m:oMath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GBH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≥10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cm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 standardized to Kew’s Plants of the World Online (POWO) taxonomy across 24 unique accepted species (representing 25 reported field morphotaxa).</w:t>
      </w:r>
    </w:p>
    <w:p w14:paraId="58A59374" w14:textId="77777777" w:rsidR="007B6108" w:rsidRPr="007B6108" w:rsidRDefault="007B6108" w:rsidP="007B6108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Tier 2 (Habitat Reality):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40 audited field photographic plates documenting crown openness, litter cover, and bare ground exposure.</w:t>
      </w:r>
    </w:p>
    <w:p w14:paraId="6316BC61" w14:textId="77777777" w:rsidR="007B6108" w:rsidRPr="007B6108" w:rsidRDefault="007B6108" w:rsidP="007B6108">
      <w:pPr>
        <w:pStyle w:val="ListParagraph"/>
        <w:numPr>
          <w:ilvl w:val="1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Tier 3 (Regional Context):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12 unverified regional herbaceous and shrub associates treated strictly as candidate hypotheses rather than in-plot tallies.</w:t>
      </w:r>
    </w:p>
    <w:p w14:paraId="7A45BD03" w14:textId="77777777" w:rsidR="007B6108" w:rsidRPr="007B6108" w:rsidRDefault="007B6108" w:rsidP="007B610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proofErr w:type="spellStart"/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lastRenderedPageBreak/>
        <w:t>Centered</w:t>
      </w:r>
      <w:proofErr w:type="spellEnd"/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 xml:space="preserve"> Multi-Scale Spatial Support Analysis: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Accounting for GPS positional uncertainty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±5.0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m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 and nominal quadrat-to-pixel overlap (mean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47.2%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), we extract reflectance across four centered spatial windows: Zone A (nominal 10 m pixel support), Zone B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50×50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m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square,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2,500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eastAsia="Times New Roman"/>
                <w:kern w:val="0"/>
                <w:lang w:eastAsia="en-GB"/>
                <w14:ligatures w14:val="none"/>
              </w:rPr>
              <m:t> m</m:t>
            </m:r>
          </m:e>
          <m:sup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), Zone C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50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m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radius disc; continuous geometric area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7,854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eastAsia="Times New Roman"/>
                <w:kern w:val="0"/>
                <w:lang w:eastAsia="en-GB"/>
                <w14:ligatures w14:val="none"/>
              </w:rPr>
              <m:t> m</m:t>
            </m:r>
          </m:e>
          <m:sup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; enclosing 81 raster pixels with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8,100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eastAsia="Times New Roman"/>
                <w:kern w:val="0"/>
                <w:lang w:eastAsia="en-GB"/>
                <w14:ligatures w14:val="none"/>
              </w:rPr>
              <m:t> m</m:t>
            </m:r>
          </m:e>
          <m:sup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rasterized support), and Zone D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100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m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radius disc; continuous area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31,416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eastAsia="Times New Roman"/>
                <w:kern w:val="0"/>
                <w:lang w:eastAsia="en-GB"/>
                <w14:ligatures w14:val="none"/>
              </w:rPr>
              <m:t> m</m:t>
            </m:r>
          </m:e>
          <m:sup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; enclosing 317 raster pixels with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31,700</m:t>
        </m:r>
        <m:sSup>
          <m:sSup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pPr>
          <m:e>
            <m:r>
              <m:rPr>
                <m:nor/>
              </m:rPr>
              <w:rPr>
                <w:rFonts w:eastAsia="Times New Roman"/>
                <w:kern w:val="0"/>
                <w:lang w:eastAsia="en-GB"/>
                <w14:ligatures w14:val="none"/>
              </w:rPr>
              <m:t> m</m:t>
            </m:r>
          </m:e>
          <m:sup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2</m:t>
            </m:r>
          </m:sup>
        </m:sSup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rasterized support). Scene Classification Layer screening achieved 100.00% terrestrial validity in Zone A (60 of 60 nominal observations) and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98.99%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–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99.33%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across multi-scale windows.</w:t>
      </w:r>
    </w:p>
    <w:p w14:paraId="60710BE2" w14:textId="77777777" w:rsidR="007B6108" w:rsidRPr="007B6108" w:rsidRDefault="007B6108" w:rsidP="007B610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Scale-Dependent Landscape Dilution: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We demonstrate that underground mature forest patches exhibit a scale-dependent decline in mean summer NDVI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0.381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at 10 m to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0.271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at 100 m) consistent with the inclusion of lower-greenness colliery matrix surfaces, whereas sampled opencast spoil plantations display smaller changes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0.303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to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0.287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).</w:t>
      </w:r>
    </w:p>
    <w:p w14:paraId="6BE1B73D" w14:textId="77777777" w:rsidR="007B6108" w:rsidRPr="007B6108" w:rsidRDefault="007B6108" w:rsidP="007B610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Heuristic Phenological Descriptive Classification &amp; 75-Configuration Sensitivity: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We formulate reproducible threshold rules segregating quadrats into descriptive spectral classes: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Persistent Greenness Signal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(summer dry-season </w:t>
      </w:r>
      <m:oMath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NDVI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≥0.30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, winter persistence ratio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≥0.90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),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Pronounced Seasonal Flush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(</w:t>
      </w:r>
      <m:oMath>
        <m:r>
          <m:rPr>
            <m:sty m:val="p"/>
          </m:rPr>
          <w:rPr>
            <w:rFonts w:ascii="Cambria Math" w:eastAsia="Times New Roman" w:hAnsi="Cambria Math"/>
            <w:kern w:val="0"/>
            <w:lang w:eastAsia="en-GB"/>
            <w14:ligatures w14:val="none"/>
          </w:rPr>
          <m:t>Δ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NDVI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&gt;0.25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, summer </w:t>
      </w:r>
      <m:oMath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NDVI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&lt;0.25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), and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Disturbed Transition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. Evaluating this classification across 75 parameter configurations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5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summer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×5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persistence</m:t>
        </m:r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×3</m:t>
        </m:r>
        <m:r>
          <m:rPr>
            <m:nor/>
          </m:rPr>
          <w:rPr>
            <w:rFonts w:eastAsia="Times New Roman"/>
            <w:kern w:val="0"/>
            <w:lang w:eastAsia="en-GB"/>
            <w14:ligatures w14:val="none"/>
          </w:rPr>
          <m:t> amplitude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 demonstrated central stability (0 changes in 24 configurations [32.0%];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≤1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change in 45 [60.0%]), with sensitivity driven by persistence and summer NDVI cutoffs, while seasonal amplitude variation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0.20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to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0.28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 produced zero reclassifications.</w:t>
      </w:r>
    </w:p>
    <w:p w14:paraId="4D3F8CB4" w14:textId="77777777" w:rsidR="007B6108" w:rsidRPr="007B6108" w:rsidRDefault="007B6108" w:rsidP="007B610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Exact Permutation Statistical Inference &amp; Effect Sizes: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Contrasts between sampled underground and opencast quadrats (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n=5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per group) were evaluated using SciPy’s exact two-sided Mann–Whitney U procedure and independently verified via exhaustive enumeration of all </w:t>
      </w:r>
      <m:oMath>
        <m:d>
          <m:d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="Times New Roman" w:hAnsi="Cambria Math"/>
                    <w:kern w:val="0"/>
                    <w:lang w:eastAsia="en-GB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kern w:val="0"/>
                    <w:lang w:eastAsia="en-GB"/>
                    <w14:ligatures w14:val="none"/>
                  </w:rPr>
                  <m:t>10</m:t>
                </m:r>
              </m:num>
              <m:den>
                <m:r>
                  <w:rPr>
                    <w:rFonts w:ascii="Cambria Math" w:eastAsia="Times New Roman" w:hAnsi="Cambria Math"/>
                    <w:kern w:val="0"/>
                    <w:lang w:eastAsia="en-GB"/>
                    <w14:ligatures w14:val="none"/>
                  </w:rPr>
                  <m:t>5</m:t>
                </m:r>
              </m:den>
            </m:f>
          </m:e>
        </m:d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=252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label permutations (e.g., Summer NDVI </w:t>
      </w:r>
      <m:oMath>
        <m:sSub>
          <m:sSub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=19.0,</m:t>
        </m:r>
        <m:sSub>
          <m:sSubPr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U</m:t>
            </m:r>
          </m:e>
          <m:sub>
            <m:r>
              <m:rPr>
                <m:nor/>
              </m:rPr>
              <w:rPr>
                <w:rFonts w:eastAsia="Times New Roman"/>
                <w:kern w:val="0"/>
                <w:lang w:eastAsia="en-GB"/>
                <w14:ligatures w14:val="none"/>
              </w:rPr>
              <m:t>min</m:t>
            </m:r>
          </m:sub>
        </m:sSub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=6.0,p=0.2222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; Cliff’s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δ=+0.520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; Hedges’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g=0.647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, approximate 95% analytical Student's </w:t>
      </w:r>
      <m:oMath>
        <m:r>
          <w:rPr>
            <w:rFonts w:ascii="Cambria Math" w:eastAsia="Times New Roman" w:hAnsi="Cambria Math"/>
            <w:kern w:val="0"/>
            <w:lang w:eastAsia="en-GB"/>
            <w14:ligatures w14:val="none"/>
          </w:rPr>
          <m:t>t</m:t>
        </m:r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CI 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-</m:t>
            </m:r>
          </m:e>
          <m:e>
            <m:r>
              <w:rPr>
                <w:rFonts w:ascii="Cambria Math" w:eastAsia="Times New Roman" w:hAnsi="Cambria Math"/>
                <w:kern w:val="0"/>
                <w:lang w:eastAsia="en-GB"/>
                <w14:ligatures w14:val="none"/>
              </w:rPr>
              <m:t>0.8502.143</m:t>
            </m:r>
          </m:e>
        </m:d>
      </m:oMath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). In accordance with editorial guidance, we frame these results with rigorous restraint: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“The wide uncertainty and small clustered sample make the non-significant result uninformative about ecological equivalence.”</w:t>
      </w:r>
    </w:p>
    <w:p w14:paraId="1A05C4A9" w14:textId="54D77780" w:rsidR="007B6108" w:rsidRPr="007B6108" w:rsidRDefault="007B6108" w:rsidP="007B6108">
      <w:pPr>
        <w:pStyle w:val="ListParagraph"/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Open Science and Complete Auditability: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br/>
        <w:t>Every analytical step is deterministic and reproducible under Python 3.11. All GeoTIFF stacks, tabular datasets, and statistical routines are accompanied by cryptographic SHA-256 checksums and archived in an open repository.</w:t>
      </w:r>
    </w:p>
    <w:p w14:paraId="7BA7FAF1" w14:textId="77777777" w:rsidR="007B6108" w:rsidRDefault="007B6108" w:rsidP="007B6108">
      <w:pPr>
        <w:shd w:val="clear" w:color="auto" w:fill="FFFFFF" w:themeFill="background1"/>
        <w:spacing w:after="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</w:p>
    <w:p w14:paraId="6A56571E" w14:textId="0E1CA30E" w:rsidR="007B6108" w:rsidRPr="007B6108" w:rsidRDefault="007B6108" w:rsidP="007B6108">
      <w:pPr>
        <w:shd w:val="clear" w:color="auto" w:fill="FFFFFF" w:themeFill="background1"/>
        <w:spacing w:after="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Fit for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Ecological Indicators</w:t>
      </w:r>
    </w:p>
    <w:p w14:paraId="662F1795" w14:textId="77777777" w:rsid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</w:p>
    <w:p w14:paraId="0D58FDEE" w14:textId="7652EBDB" w:rsidR="007B6108" w:rsidRPr="007B6108" w:rsidRDefault="007B6108" w:rsidP="007B6108">
      <w:pPr>
        <w:shd w:val="clear" w:color="auto" w:fill="FFFFFF" w:themeFill="background1"/>
        <w:spacing w:after="0" w:line="240" w:lineRule="auto"/>
        <w:ind w:firstLine="720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This manuscript directly addresses the core mission of </w:t>
      </w:r>
      <w:r w:rsidRPr="007B6108">
        <w:rPr>
          <w:rFonts w:eastAsia="Times New Roman"/>
          <w:i/>
          <w:iCs/>
          <w:color w:val="101010"/>
          <w:kern w:val="0"/>
          <w:lang w:eastAsia="en-GB"/>
          <w14:ligatures w14:val="none"/>
        </w:rPr>
        <w:t>Ecological Indicators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by demonstrating how remote-sensing indicators must be constrained by ground evidence to avoid overinterpretation in post-industrial ecosystems. It serves as both a pilot field assessment of coal mining disturbance in central India and a cautionary methodological blueprint for future landscape-scale, replicated restoration assessments.</w:t>
      </w:r>
    </w:p>
    <w:p w14:paraId="2A1259BF" w14:textId="77777777" w:rsidR="007B6108" w:rsidRPr="007B6108" w:rsidRDefault="007B6108" w:rsidP="007B6108">
      <w:pPr>
        <w:shd w:val="clear" w:color="auto" w:fill="FFFFFF" w:themeFill="background1"/>
        <w:spacing w:before="180" w:after="60" w:line="240" w:lineRule="auto"/>
        <w:jc w:val="both"/>
        <w:outlineLvl w:val="2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Author Declarations &amp; Submission Details</w:t>
      </w:r>
    </w:p>
    <w:p w14:paraId="1D09B667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lastRenderedPageBreak/>
        <w:t>Manuscript Type: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Research Paper (Pilot / Methodological Analysis)</w:t>
      </w:r>
    </w:p>
    <w:p w14:paraId="18A741DF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Word Count: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~9,850 words (excluding references, tables, and supplement)</w:t>
      </w:r>
    </w:p>
    <w:p w14:paraId="6396C12E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Figures: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6 main text figures + 1 supplementary figure</w:t>
      </w:r>
    </w:p>
    <w:p w14:paraId="297DF241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Tables: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6 main text tables + 10 supplementary tables</w:t>
      </w:r>
    </w:p>
    <w:p w14:paraId="5FC37AB5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Originality: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This manuscript represents original work and is not under consideration for publication elsewhere.</w:t>
      </w:r>
    </w:p>
    <w:p w14:paraId="69475C73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Author Approval: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All authors have approved the submission of this revised manuscript.</w:t>
      </w:r>
    </w:p>
    <w:p w14:paraId="71B29ACA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Conflicts of Interest: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The authors declare that they have no known competing financial interests or personal relationships that could have appeared to influence the work reported in this paper.</w:t>
      </w:r>
    </w:p>
    <w:p w14:paraId="6BE9309D" w14:textId="77777777" w:rsidR="007B6108" w:rsidRPr="007B6108" w:rsidRDefault="007B6108" w:rsidP="007B6108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eastAsia="Times New Roman"/>
          <w:color w:val="101010"/>
          <w:kern w:val="0"/>
          <w:lang w:eastAsia="en-GB"/>
          <w14:ligatures w14:val="none"/>
        </w:rPr>
      </w:pPr>
      <w:r w:rsidRPr="007B6108">
        <w:rPr>
          <w:rFonts w:eastAsia="Times New Roman"/>
          <w:b/>
          <w:bCs/>
          <w:color w:val="101010"/>
          <w:kern w:val="0"/>
          <w:lang w:eastAsia="en-GB"/>
          <w14:ligatures w14:val="none"/>
        </w:rPr>
        <w:t>Data Availability: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 All raw data, processed rasters, scripts, and documentation are openly available in the companion repository (</w:t>
      </w:r>
      <w:r w:rsidRPr="007B6108">
        <w:rPr>
          <w:rFonts w:eastAsia="Times New Roman"/>
          <w:color w:val="A31515"/>
          <w:kern w:val="0"/>
          <w:lang w:eastAsia="en-GB"/>
          <w14:ligatures w14:val="none"/>
        </w:rPr>
        <w:t>https://github.com/shubham-sharma-korba/korba-restoration-sentinel2</w:t>
      </w:r>
      <w:r w:rsidRPr="007B6108">
        <w:rPr>
          <w:rFonts w:eastAsia="Times New Roman"/>
          <w:color w:val="101010"/>
          <w:kern w:val="0"/>
          <w:lang w:eastAsia="en-GB"/>
          <w14:ligatures w14:val="none"/>
        </w:rPr>
        <w:t>).</w:t>
      </w:r>
    </w:p>
    <w:p w14:paraId="6BFAF330" w14:textId="77777777" w:rsidR="007B6108" w:rsidRPr="007B6108" w:rsidRDefault="007B6108" w:rsidP="007B6108">
      <w:pPr>
        <w:shd w:val="clear" w:color="auto" w:fill="FFFFFF" w:themeFill="background1"/>
        <w:spacing w:after="0" w:line="240" w:lineRule="auto"/>
        <w:jc w:val="both"/>
        <w:rPr>
          <w:rFonts w:eastAsia="Times New Roman"/>
          <w:kern w:val="0"/>
          <w:lang w:eastAsia="en-GB"/>
          <w14:ligatures w14:val="none"/>
        </w:rPr>
      </w:pPr>
    </w:p>
    <w:p w14:paraId="55EEF2D7" w14:textId="7271D9AF" w:rsidR="005C13D4" w:rsidRPr="007B6108" w:rsidRDefault="005C13D4" w:rsidP="007B6108">
      <w:pPr>
        <w:shd w:val="clear" w:color="auto" w:fill="FFFFFF" w:themeFill="background1"/>
        <w:jc w:val="both"/>
      </w:pPr>
    </w:p>
    <w:sectPr w:rsidR="005C13D4" w:rsidRPr="007B6108" w:rsidSect="002B5975"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A1FC8"/>
    <w:multiLevelType w:val="multilevel"/>
    <w:tmpl w:val="F08A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4861E6"/>
    <w:multiLevelType w:val="multilevel"/>
    <w:tmpl w:val="E66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F526FC"/>
    <w:multiLevelType w:val="hybridMultilevel"/>
    <w:tmpl w:val="846A72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779791">
    <w:abstractNumId w:val="0"/>
  </w:num>
  <w:num w:numId="2" w16cid:durableId="115880502">
    <w:abstractNumId w:val="1"/>
  </w:num>
  <w:num w:numId="3" w16cid:durableId="118902792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08"/>
    <w:rsid w:val="002B5975"/>
    <w:rsid w:val="005C13D4"/>
    <w:rsid w:val="007040C3"/>
    <w:rsid w:val="007153FD"/>
    <w:rsid w:val="007B6108"/>
    <w:rsid w:val="00955EC2"/>
    <w:rsid w:val="00A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D1F2"/>
  <w15:chartTrackingRefBased/>
  <w15:docId w15:val="{77B872D7-D074-3A43-B9B4-220AC2CF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61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1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1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1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1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1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1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61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1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1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1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1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1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1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1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1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1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6108"/>
    <w:rPr>
      <w:b/>
      <w:bCs/>
    </w:rPr>
  </w:style>
  <w:style w:type="character" w:styleId="Emphasis">
    <w:name w:val="Emphasis"/>
    <w:basedOn w:val="DefaultParagraphFont"/>
    <w:uiPriority w:val="20"/>
    <w:qFormat/>
    <w:rsid w:val="007B61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B6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802</Words>
  <Characters>5608</Characters>
  <Application>Microsoft Office Word</Application>
  <DocSecurity>0</DocSecurity>
  <Lines>119</Lines>
  <Paragraphs>57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1</cp:revision>
  <dcterms:created xsi:type="dcterms:W3CDTF">2026-09-25T09:55:00Z</dcterms:created>
  <dcterms:modified xsi:type="dcterms:W3CDTF">2026-09-25T10:02:00Z</dcterms:modified>
</cp:coreProperties>
</file>