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2B49"/>
          <w:sz w:val="30"/>
        </w:rPr>
        <w:t>PROSPECTIVE RESTORATION-MONITORING FRAMEWORK:</w:t>
        <w:br/>
        <w:t>Methodological Recommendations for Post-Mining Assessment in Korba, Chhattisgarh</w:t>
      </w:r>
    </w:p>
    <w:p>
      <w:pPr>
        <w:jc w:val="center"/>
      </w:pPr>
      <w:r>
        <w:rPr>
          <w:rFonts w:ascii="Arial" w:hAnsi="Arial"/>
          <w:i/>
          <w:color w:val="5A5A5A"/>
          <w:sz w:val="21"/>
        </w:rPr>
        <w:t>A Methodological Architecture for Second-Phase Field Sampling, Reference Ecosystems &amp; Linear Mixed-Effects Modeling</w:t>
      </w:r>
    </w:p>
    <w:p/>
    <w:p>
      <w:pPr>
        <w:pStyle w:val="Heading1"/>
      </w:pPr>
      <w:r>
        <w:t>Executive Summary</w:t>
      </w:r>
    </w:p>
    <w:p>
      <w:r>
        <w:t>This framework separates the current empirical comparison of five underground and five opencast quadrats from a proposed future restoration-monitoring program. The present study contains three-season soil, vegetation, ground-cover, and satellite-derived observations from the sampled mine quadrats. These observations suggest higher soil carbon and nitrogen in the underground group, greater heterogeneity among opencast quadrats, and stronger seasonal vegetation turnover at some opencast locations. The proposed second-phase design would add unmined reference sites, independent site replication, restoration-history data, soil physical and biological indicators, quantitative vegetation structure, fauna, and multi-year remote sensing. These additions are methodological recommendations and are not treated as completed measurements.</w:t>
      </w:r>
    </w:p>
    <w:p>
      <w:pPr>
        <w:pStyle w:val="Heading2"/>
      </w:pPr>
      <w:r>
        <w:t>Methodological Governance: Ethical Use of Generated Deliverables</w:t>
      </w:r>
    </w:p>
    <w:tbl>
      <w:tblPr>
        <w:tblW w:type="auto" w:w="0"/>
        <w:jc w:val="center"/>
        <w:tblLook w:firstColumn="1" w:firstRow="1" w:lastColumn="0" w:lastRow="0" w:noHBand="0" w:noVBand="1" w:val="04A0"/>
      </w:tblPr>
      <w:tblGrid>
        <w:gridCol w:w="3312"/>
        <w:gridCol w:w="3312"/>
        <w:gridCol w:w="3312"/>
      </w:tblGrid>
      <w:tr>
        <w:tc>
          <w:tcPr>
            <w:tcW w:type="dxa" w:w="3312"/>
            <w:shd w:fill="1F497D"/>
            <w:tcBorders>
              <w:top w:val="single" w:sz="12" w:space="0" w:color="1F497D"/>
              <w:bottom w:val="single" w:sz="12" w:space="0" w:color="1F497D"/>
            </w:tcBorders>
          </w:tcPr>
          <w:p>
            <w:pPr>
              <w:jc w:val="center"/>
            </w:pPr>
            <w:r>
              <w:rPr>
                <w:rFonts w:ascii="Arial" w:hAnsi="Arial"/>
                <w:b/>
                <w:color w:val="FFFFFF"/>
                <w:sz w:val="17"/>
              </w:rPr>
              <w:t>Generated Item</w:t>
            </w:r>
          </w:p>
        </w:tc>
        <w:tc>
          <w:tcPr>
            <w:tcW w:type="dxa" w:w="3312"/>
            <w:shd w:fill="1F497D"/>
            <w:tcBorders>
              <w:top w:val="single" w:sz="12" w:space="0" w:color="1F497D"/>
              <w:bottom w:val="single" w:sz="12" w:space="0" w:color="1F497D"/>
            </w:tcBorders>
          </w:tcPr>
          <w:p>
            <w:pPr>
              <w:jc w:val="center"/>
            </w:pPr>
            <w:r>
              <w:rPr>
                <w:rFonts w:ascii="Arial" w:hAnsi="Arial"/>
                <w:b/>
                <w:color w:val="FFFFFF"/>
                <w:sz w:val="17"/>
              </w:rPr>
              <w:t>Mandatory Ethical Use Now</w:t>
            </w:r>
          </w:p>
        </w:tc>
        <w:tc>
          <w:tcPr>
            <w:tcW w:type="dxa" w:w="3312"/>
            <w:shd w:fill="B2182B"/>
            <w:tcBorders>
              <w:top w:val="single" w:sz="12" w:space="0" w:color="1F497D"/>
              <w:bottom w:val="single" w:sz="12" w:space="0" w:color="1F497D"/>
            </w:tcBorders>
          </w:tcPr>
          <w:p>
            <w:pPr>
              <w:jc w:val="center"/>
            </w:pPr>
            <w:r>
              <w:rPr>
                <w:rFonts w:ascii="Arial" w:hAnsi="Arial"/>
                <w:b/>
                <w:color w:val="FFFFFF"/>
                <w:sz w:val="17"/>
              </w:rPr>
              <w:t>Strict Prohibition (Do Not Do)</w:t>
            </w:r>
          </w:p>
        </w:tc>
      </w:tr>
      <w:tr>
        <w:tc>
          <w:tcPr>
            <w:tcW w:type="dxa" w:w="3312"/>
            <w:shd w:fill="FFFFFF"/>
            <w:tcBorders>
              <w:top w:val="single" w:sz="2" w:space="0" w:color="D0D7DE"/>
              <w:bottom w:val="single" w:sz="2" w:space="0" w:color="D0D7DE"/>
            </w:tcBorders>
          </w:tcPr>
          <w:p>
            <w:pPr>
              <w:jc w:val="left"/>
            </w:pPr>
            <w:r>
              <w:rPr>
                <w:rFonts w:ascii="Arial" w:hAnsi="Arial"/>
                <w:sz w:val="16"/>
              </w:rPr>
              <w:t>Reference-site table</w:t>
            </w:r>
          </w:p>
        </w:tc>
        <w:tc>
          <w:tcPr>
            <w:tcW w:type="dxa" w:w="3312"/>
            <w:shd w:fill="FFFFFF"/>
            <w:tcBorders>
              <w:top w:val="single" w:sz="2" w:space="0" w:color="D0D7DE"/>
              <w:bottom w:val="single" w:sz="2" w:space="0" w:color="D0D7DE"/>
            </w:tcBorders>
          </w:tcPr>
          <w:p>
            <w:pPr>
              <w:jc w:val="left"/>
            </w:pPr>
            <w:r>
              <w:rPr>
                <w:rFonts w:ascii="Arial" w:hAnsi="Arial"/>
                <w:sz w:val="16"/>
              </w:rPr>
              <w:t>Convert to a field-sampling sheet for future reference quadrats</w:t>
            </w:r>
          </w:p>
        </w:tc>
        <w:tc>
          <w:tcPr>
            <w:tcW w:type="dxa" w:w="3312"/>
            <w:shd w:fill="FFFFFF"/>
            <w:tcBorders>
              <w:top w:val="single" w:sz="2" w:space="0" w:color="D0D7DE"/>
              <w:bottom w:val="single" w:sz="2" w:space="0" w:color="D0D7DE"/>
            </w:tcBorders>
          </w:tcPr>
          <w:p>
            <w:pPr>
              <w:jc w:val="left"/>
            </w:pPr>
            <w:r>
              <w:rPr>
                <w:rFonts w:ascii="Arial" w:hAnsi="Arial"/>
                <w:b/>
                <w:color w:val="B2182B"/>
                <w:sz w:val="16"/>
              </w:rPr>
              <w:t>Call it a sampled reference forest dataset</w:t>
            </w:r>
          </w:p>
        </w:tc>
      </w:tr>
      <w:tr>
        <w:tc>
          <w:tcPr>
            <w:tcW w:type="dxa" w:w="3312"/>
            <w:shd w:fill="FBF2F2"/>
            <w:tcBorders>
              <w:top w:val="single" w:sz="2" w:space="0" w:color="D0D7DE"/>
              <w:bottom w:val="single" w:sz="2" w:space="0" w:color="D0D7DE"/>
            </w:tcBorders>
          </w:tcPr>
          <w:p>
            <w:pPr>
              <w:jc w:val="left"/>
            </w:pPr>
            <w:r>
              <w:rPr>
                <w:rFonts w:ascii="Arial" w:hAnsi="Arial"/>
                <w:sz w:val="16"/>
              </w:rPr>
              <w:t>Expanded N=75 design</w:t>
            </w:r>
          </w:p>
        </w:tc>
        <w:tc>
          <w:tcPr>
            <w:tcW w:type="dxa" w:w="3312"/>
            <w:shd w:fill="FBF2F2"/>
            <w:tcBorders>
              <w:top w:val="single" w:sz="2" w:space="0" w:color="D0D7DE"/>
              <w:bottom w:val="single" w:sz="2" w:space="0" w:color="D0D7DE"/>
            </w:tcBorders>
          </w:tcPr>
          <w:p>
            <w:pPr>
              <w:jc w:val="left"/>
            </w:pPr>
            <w:r>
              <w:rPr>
                <w:rFonts w:ascii="Arial" w:hAnsi="Arial"/>
                <w:sz w:val="16"/>
              </w:rPr>
              <w:t>Use as a proposed sampling design</w:t>
            </w:r>
          </w:p>
        </w:tc>
        <w:tc>
          <w:tcPr>
            <w:tcW w:type="dxa" w:w="3312"/>
            <w:shd w:fill="FBF2F2"/>
            <w:tcBorders>
              <w:top w:val="single" w:sz="2" w:space="0" w:color="D0D7DE"/>
              <w:bottom w:val="single" w:sz="2" w:space="0" w:color="D0D7DE"/>
            </w:tcBorders>
          </w:tcPr>
          <w:p>
            <w:pPr>
              <w:jc w:val="left"/>
            </w:pPr>
            <w:r>
              <w:rPr>
                <w:rFonts w:ascii="Arial" w:hAnsi="Arial"/>
                <w:b/>
                <w:color w:val="B2182B"/>
                <w:sz w:val="16"/>
              </w:rPr>
              <w:t>Report it as completed replication</w:t>
            </w:r>
          </w:p>
        </w:tc>
      </w:tr>
      <w:tr>
        <w:tc>
          <w:tcPr>
            <w:tcW w:type="dxa" w:w="3312"/>
            <w:shd w:fill="FFFFFF"/>
            <w:tcBorders>
              <w:top w:val="single" w:sz="2" w:space="0" w:color="D0D7DE"/>
              <w:bottom w:val="single" w:sz="2" w:space="0" w:color="D0D7DE"/>
            </w:tcBorders>
          </w:tcPr>
          <w:p>
            <w:pPr>
              <w:jc w:val="left"/>
            </w:pPr>
            <w:r>
              <w:rPr>
                <w:rFonts w:ascii="Arial" w:hAnsi="Arial"/>
                <w:sz w:val="16"/>
              </w:rPr>
              <w:t>Restoration-history metadata</w:t>
            </w:r>
          </w:p>
        </w:tc>
        <w:tc>
          <w:tcPr>
            <w:tcW w:type="dxa" w:w="3312"/>
            <w:shd w:fill="FFFFFF"/>
            <w:tcBorders>
              <w:top w:val="single" w:sz="2" w:space="0" w:color="D0D7DE"/>
              <w:bottom w:val="single" w:sz="2" w:space="0" w:color="D0D7DE"/>
            </w:tcBorders>
          </w:tcPr>
          <w:p>
            <w:pPr>
              <w:jc w:val="left"/>
            </w:pPr>
            <w:r>
              <w:rPr>
                <w:rFonts w:ascii="Arial" w:hAnsi="Arial"/>
                <w:sz w:val="16"/>
              </w:rPr>
              <w:t>Use as a blank site-interview and mine-record template</w:t>
            </w:r>
          </w:p>
        </w:tc>
        <w:tc>
          <w:tcPr>
            <w:tcW w:type="dxa" w:w="3312"/>
            <w:shd w:fill="FFFFFF"/>
            <w:tcBorders>
              <w:top w:val="single" w:sz="2" w:space="0" w:color="D0D7DE"/>
              <w:bottom w:val="single" w:sz="2" w:space="0" w:color="D0D7DE"/>
            </w:tcBorders>
          </w:tcPr>
          <w:p>
            <w:pPr>
              <w:jc w:val="left"/>
            </w:pPr>
            <w:r>
              <w:rPr>
                <w:rFonts w:ascii="Arial" w:hAnsi="Arial"/>
                <w:b/>
                <w:color w:val="B2182B"/>
                <w:sz w:val="16"/>
              </w:rPr>
              <w:t>Invent mine age, topsoil depth, seed-source distance, or restoration history</w:t>
            </w:r>
          </w:p>
        </w:tc>
      </w:tr>
      <w:tr>
        <w:tc>
          <w:tcPr>
            <w:tcW w:type="dxa" w:w="3312"/>
            <w:shd w:fill="FBF2F2"/>
            <w:tcBorders>
              <w:top w:val="single" w:sz="2" w:space="0" w:color="D0D7DE"/>
              <w:bottom w:val="single" w:sz="2" w:space="0" w:color="D0D7DE"/>
            </w:tcBorders>
          </w:tcPr>
          <w:p>
            <w:pPr>
              <w:jc w:val="left"/>
            </w:pPr>
            <w:r>
              <w:rPr>
                <w:rFonts w:ascii="Arial" w:hAnsi="Arial"/>
                <w:sz w:val="16"/>
              </w:rPr>
              <w:t>Soil physical/biological tables</w:t>
            </w:r>
          </w:p>
        </w:tc>
        <w:tc>
          <w:tcPr>
            <w:tcW w:type="dxa" w:w="3312"/>
            <w:shd w:fill="FBF2F2"/>
            <w:tcBorders>
              <w:top w:val="single" w:sz="2" w:space="0" w:color="D0D7DE"/>
              <w:bottom w:val="single" w:sz="2" w:space="0" w:color="D0D7DE"/>
            </w:tcBorders>
          </w:tcPr>
          <w:p>
            <w:pPr>
              <w:jc w:val="left"/>
            </w:pPr>
            <w:r>
              <w:rPr>
                <w:rFonts w:ascii="Arial" w:hAnsi="Arial"/>
                <w:sz w:val="16"/>
              </w:rPr>
              <w:t>Use as laboratory and field-data templates</w:t>
            </w:r>
          </w:p>
        </w:tc>
        <w:tc>
          <w:tcPr>
            <w:tcW w:type="dxa" w:w="3312"/>
            <w:shd w:fill="FBF2F2"/>
            <w:tcBorders>
              <w:top w:val="single" w:sz="2" w:space="0" w:color="D0D7DE"/>
              <w:bottom w:val="single" w:sz="2" w:space="0" w:color="D0D7DE"/>
            </w:tcBorders>
          </w:tcPr>
          <w:p>
            <w:pPr>
              <w:jc w:val="left"/>
            </w:pPr>
            <w:r>
              <w:rPr>
                <w:rFonts w:ascii="Arial" w:hAnsi="Arial"/>
                <w:b/>
                <w:color w:val="B2182B"/>
                <w:sz w:val="16"/>
              </w:rPr>
              <w:t>Report infiltration, MBC, enzymes, AMF, earthworms, etc. without measurement</w:t>
            </w:r>
          </w:p>
        </w:tc>
      </w:tr>
      <w:tr>
        <w:tc>
          <w:tcPr>
            <w:tcW w:type="dxa" w:w="3312"/>
            <w:shd w:fill="FFFFFF"/>
            <w:tcBorders>
              <w:top w:val="single" w:sz="2" w:space="0" w:color="D0D7DE"/>
              <w:bottom w:val="single" w:sz="2" w:space="0" w:color="D0D7DE"/>
            </w:tcBorders>
          </w:tcPr>
          <w:p>
            <w:pPr>
              <w:jc w:val="left"/>
            </w:pPr>
            <w:r>
              <w:rPr>
                <w:rFonts w:ascii="Arial" w:hAnsi="Arial"/>
                <w:sz w:val="16"/>
              </w:rPr>
              <w:t>Functional trait matrix</w:t>
            </w:r>
          </w:p>
        </w:tc>
        <w:tc>
          <w:tcPr>
            <w:tcW w:type="dxa" w:w="3312"/>
            <w:shd w:fill="FFFFFF"/>
            <w:tcBorders>
              <w:top w:val="single" w:sz="2" w:space="0" w:color="D0D7DE"/>
              <w:bottom w:val="single" w:sz="2" w:space="0" w:color="D0D7DE"/>
            </w:tcBorders>
          </w:tcPr>
          <w:p>
            <w:pPr>
              <w:jc w:val="left"/>
            </w:pPr>
            <w:r>
              <w:rPr>
                <w:rFonts w:ascii="Arial" w:hAnsi="Arial"/>
                <w:sz w:val="16"/>
              </w:rPr>
              <w:t>Use if traits are verified against authoritative floras/databases and cited</w:t>
            </w:r>
          </w:p>
        </w:tc>
        <w:tc>
          <w:tcPr>
            <w:tcW w:type="dxa" w:w="3312"/>
            <w:shd w:fill="FFFFFF"/>
            <w:tcBorders>
              <w:top w:val="single" w:sz="2" w:space="0" w:color="D0D7DE"/>
              <w:bottom w:val="single" w:sz="2" w:space="0" w:color="D0D7DE"/>
            </w:tcBorders>
          </w:tcPr>
          <w:p>
            <w:pPr>
              <w:jc w:val="left"/>
            </w:pPr>
            <w:r>
              <w:rPr>
                <w:rFonts w:ascii="Arial" w:hAnsi="Arial"/>
                <w:b/>
                <w:color w:val="B2182B"/>
                <w:sz w:val="16"/>
              </w:rPr>
              <w:t>Treat unverified classifications as measured results</w:t>
            </w:r>
          </w:p>
        </w:tc>
      </w:tr>
      <w:tr>
        <w:tc>
          <w:tcPr>
            <w:tcW w:type="dxa" w:w="3312"/>
            <w:shd w:fill="FBF2F2"/>
            <w:tcBorders>
              <w:top w:val="single" w:sz="2" w:space="0" w:color="D0D7DE"/>
              <w:bottom w:val="single" w:sz="2" w:space="0" w:color="D0D7DE"/>
            </w:tcBorders>
          </w:tcPr>
          <w:p>
            <w:pPr>
              <w:jc w:val="left"/>
            </w:pPr>
            <w:r>
              <w:rPr>
                <w:rFonts w:ascii="Arial" w:hAnsi="Arial"/>
                <w:sz w:val="16"/>
              </w:rPr>
              <w:t>Sentinel-2 table</w:t>
            </w:r>
          </w:p>
        </w:tc>
        <w:tc>
          <w:tcPr>
            <w:tcW w:type="dxa" w:w="3312"/>
            <w:shd w:fill="FBF2F2"/>
            <w:tcBorders>
              <w:top w:val="single" w:sz="2" w:space="0" w:color="D0D7DE"/>
              <w:bottom w:val="single" w:sz="2" w:space="0" w:color="D0D7DE"/>
            </w:tcBorders>
          </w:tcPr>
          <w:p>
            <w:pPr>
              <w:jc w:val="left"/>
            </w:pPr>
            <w:r>
              <w:rPr>
                <w:rFonts w:ascii="Arial" w:hAnsi="Arial"/>
                <w:sz w:val="16"/>
              </w:rPr>
              <w:t>Replace with a reproducible real extraction from specified imagery and dates</w:t>
            </w:r>
          </w:p>
        </w:tc>
        <w:tc>
          <w:tcPr>
            <w:tcW w:type="dxa" w:w="3312"/>
            <w:shd w:fill="FBF2F2"/>
            <w:tcBorders>
              <w:top w:val="single" w:sz="2" w:space="0" w:color="D0D7DE"/>
              <w:bottom w:val="single" w:sz="2" w:space="0" w:color="D0D7DE"/>
            </w:tcBorders>
          </w:tcPr>
          <w:p>
            <w:pPr>
              <w:jc w:val="left"/>
            </w:pPr>
            <w:r>
              <w:rPr>
                <w:rFonts w:ascii="Arial" w:hAnsi="Arial"/>
                <w:b/>
                <w:color w:val="B2182B"/>
                <w:sz w:val="16"/>
              </w:rPr>
              <w:t>State values were 'reconstructed' without a documented workflow</w:t>
            </w:r>
          </w:p>
        </w:tc>
      </w:tr>
      <w:tr>
        <w:tc>
          <w:tcPr>
            <w:tcW w:type="dxa" w:w="3312"/>
            <w:shd w:fill="FFFFFF"/>
            <w:tcBorders>
              <w:top w:val="single" w:sz="2" w:space="0" w:color="D0D7DE"/>
              <w:bottom w:val="single" w:sz="2" w:space="0" w:color="D0D7DE"/>
            </w:tcBorders>
          </w:tcPr>
          <w:p>
            <w:pPr>
              <w:jc w:val="left"/>
            </w:pPr>
            <w:r>
              <w:rPr>
                <w:rFonts w:ascii="Arial" w:hAnsi="Arial"/>
                <w:sz w:val="16"/>
              </w:rPr>
              <w:t>Butterfly table</w:t>
            </w:r>
          </w:p>
        </w:tc>
        <w:tc>
          <w:tcPr>
            <w:tcW w:type="dxa" w:w="3312"/>
            <w:shd w:fill="FFFFFF"/>
            <w:tcBorders>
              <w:top w:val="single" w:sz="2" w:space="0" w:color="D0D7DE"/>
              <w:bottom w:val="single" w:sz="2" w:space="0" w:color="D0D7DE"/>
            </w:tcBorders>
          </w:tcPr>
          <w:p>
            <w:pPr>
              <w:jc w:val="left"/>
            </w:pPr>
            <w:r>
              <w:rPr>
                <w:rFonts w:ascii="Arial" w:hAnsi="Arial"/>
                <w:sz w:val="16"/>
              </w:rPr>
              <w:t>Use as a future sampling template</w:t>
            </w:r>
          </w:p>
        </w:tc>
        <w:tc>
          <w:tcPr>
            <w:tcW w:type="dxa" w:w="3312"/>
            <w:shd w:fill="FFFFFF"/>
            <w:tcBorders>
              <w:top w:val="single" w:sz="2" w:space="0" w:color="D0D7DE"/>
              <w:bottom w:val="single" w:sz="2" w:space="0" w:color="D0D7DE"/>
            </w:tcBorders>
          </w:tcPr>
          <w:p>
            <w:pPr>
              <w:jc w:val="left"/>
            </w:pPr>
            <w:r>
              <w:rPr>
                <w:rFonts w:ascii="Arial" w:hAnsi="Arial"/>
                <w:b/>
                <w:color w:val="B2182B"/>
                <w:sz w:val="16"/>
              </w:rPr>
              <w:t>Report transect observations not performed</w:t>
            </w:r>
          </w:p>
        </w:tc>
      </w:tr>
      <w:tr>
        <w:tc>
          <w:tcPr>
            <w:tcW w:type="dxa" w:w="3312"/>
            <w:shd w:fill="FBF2F2"/>
            <w:tcBorders>
              <w:top w:val="single" w:sz="2" w:space="0" w:color="D0D7DE"/>
              <w:bottom w:val="single" w:sz="2" w:space="0" w:color="D0D7DE"/>
            </w:tcBorders>
          </w:tcPr>
          <w:p>
            <w:pPr>
              <w:jc w:val="left"/>
            </w:pPr>
            <w:r>
              <w:rPr>
                <w:rFonts w:ascii="Arial" w:hAnsi="Arial"/>
                <w:sz w:val="16"/>
              </w:rPr>
              <w:t>LMM table</w:t>
            </w:r>
          </w:p>
        </w:tc>
        <w:tc>
          <w:tcPr>
            <w:tcW w:type="dxa" w:w="3312"/>
            <w:shd w:fill="FBF2F2"/>
            <w:tcBorders>
              <w:top w:val="single" w:sz="2" w:space="0" w:color="D0D7DE"/>
              <w:bottom w:val="single" w:sz="2" w:space="0" w:color="D0D7DE"/>
            </w:tcBorders>
          </w:tcPr>
          <w:p>
            <w:pPr>
              <w:jc w:val="left"/>
            </w:pPr>
            <w:r>
              <w:rPr>
                <w:rFonts w:ascii="Arial" w:hAnsi="Arial"/>
                <w:sz w:val="16"/>
              </w:rPr>
              <w:t>Run models only on actual observations and appropriate design</w:t>
            </w:r>
          </w:p>
        </w:tc>
        <w:tc>
          <w:tcPr>
            <w:tcW w:type="dxa" w:w="3312"/>
            <w:shd w:fill="FBF2F2"/>
            <w:tcBorders>
              <w:top w:val="single" w:sz="2" w:space="0" w:color="D0D7DE"/>
              <w:bottom w:val="single" w:sz="2" w:space="0" w:color="D0D7DE"/>
            </w:tcBorders>
          </w:tcPr>
          <w:p>
            <w:pPr>
              <w:jc w:val="left"/>
            </w:pPr>
            <w:r>
              <w:rPr>
                <w:rFonts w:ascii="Arial" w:hAnsi="Arial"/>
                <w:b/>
                <w:color w:val="B2182B"/>
                <w:sz w:val="16"/>
              </w:rPr>
              <w:t>Report model coefficients or R² from synthetic data</w:t>
            </w:r>
          </w:p>
        </w:tc>
      </w:tr>
      <w:tr>
        <w:tc>
          <w:tcPr>
            <w:tcW w:type="dxa" w:w="3312"/>
            <w:shd w:fill="FFFFFF"/>
            <w:tcBorders>
              <w:top w:val="single" w:sz="2" w:space="0" w:color="D0D7DE"/>
              <w:bottom w:val="single" w:sz="2" w:space="0" w:color="D0D7DE"/>
            </w:tcBorders>
          </w:tcPr>
          <w:p>
            <w:pPr>
              <w:jc w:val="left"/>
            </w:pPr>
            <w:r>
              <w:rPr>
                <w:rFonts w:ascii="Arial" w:hAnsi="Arial"/>
                <w:sz w:val="16"/>
              </w:rPr>
              <w:t>Restoration figure</w:t>
            </w:r>
          </w:p>
        </w:tc>
        <w:tc>
          <w:tcPr>
            <w:tcW w:type="dxa" w:w="3312"/>
            <w:shd w:fill="FFFFFF"/>
            <w:tcBorders>
              <w:top w:val="single" w:sz="2" w:space="0" w:color="D0D7DE"/>
              <w:bottom w:val="single" w:sz="2" w:space="0" w:color="D0D7DE"/>
            </w:tcBorders>
          </w:tcPr>
          <w:p>
            <w:pPr>
              <w:jc w:val="left"/>
            </w:pPr>
            <w:r>
              <w:rPr>
                <w:rFonts w:ascii="Arial" w:hAnsi="Arial"/>
                <w:sz w:val="16"/>
              </w:rPr>
              <w:t>Label as a conceptual framework only, or regenerate entirely from real data</w:t>
            </w:r>
          </w:p>
        </w:tc>
        <w:tc>
          <w:tcPr>
            <w:tcW w:type="dxa" w:w="3312"/>
            <w:shd w:fill="FFFFFF"/>
            <w:tcBorders>
              <w:top w:val="single" w:sz="2" w:space="0" w:color="D0D7DE"/>
              <w:bottom w:val="single" w:sz="2" w:space="0" w:color="D0D7DE"/>
            </w:tcBorders>
          </w:tcPr>
          <w:p>
            <w:pPr>
              <w:jc w:val="left"/>
            </w:pPr>
            <w:r>
              <w:rPr>
                <w:rFonts w:ascii="Arial" w:hAnsi="Arial"/>
                <w:b/>
                <w:color w:val="B2182B"/>
                <w:sz w:val="16"/>
              </w:rPr>
              <w:t>Publish it as empirical evidence</w:t>
            </w:r>
          </w:p>
        </w:tc>
      </w:tr>
    </w:tbl>
    <w:p>
      <w:r>
        <w:br w:type="page"/>
      </w:r>
    </w:p>
    <w:p>
      <w:pPr>
        <w:pStyle w:val="Heading1"/>
      </w:pPr>
      <w:r>
        <w:t>Part I: Current Empirical Evidence (Scope &amp; Audited Baseline)</w:t>
      </w:r>
    </w:p>
    <w:p>
      <w:r>
        <w:t>The empirical investigation is founded upon 10 permanently marked 10 × 10 m quadrats (5 Underground: UG-Q1 to Q5; 5 Opencast: OC-Q1 to Q5) surveyed across three seasons. Full empirical data are quarantined in CURRENT_EMPIRICAL_STUDY_SCOPE_AND_RESULTS.md.</w:t>
        <w:br/>
        <w:br/>
        <w:t>Key Audited Observations:</w:t>
        <w:br/>
        <w:t>1. Soil Organic Carbon &amp; Nutrients: Underground sites average higher SOC (1.28–1.56%) and Available N (174–335 kg/ha) than opencast spoil (93–256 kg/ha).</w:t>
        <w:br/>
        <w:t>2. Overstory Woody Stems: Exactly 58 tree and subcanopy stems (GBH ≥ 10 cm) across 25 species were verified in-plot. Tree carbon was significantly higher in UG (median 24.16 t C/ha vs. 16.81 t C/ha; p = 0.0079).</w:t>
        <w:br/>
        <w:t>3. Six-Date Sentinel-2 Observations: Under strict terrestrial screening (SCL 4/5), UG sites maintained persistent winter-to-monsoon NDVI ratios (0.84–1.11), while open spoil (OC-Q5) showed high seasonal amplitude (Delta-NDVI = 0.2854) due to transient monsoon weed flushes.</w:t>
      </w:r>
    </w:p>
    <w:p>
      <w:pPr>
        <w:pStyle w:val="Heading1"/>
      </w:pPr>
      <w:r>
        <w:t>Part II: Literature-Based Interpretation &amp; Functional Traits</w:t>
      </w:r>
    </w:p>
    <w:p>
      <w:r>
        <w:t>Plant functional traits for all 42 recorded species were synthesized from authoritative taxonomic literature (Haines 1925; Verma et al. 1993; Brandis 1906; POWO 2026; TRY Plant Trait Database Kattge et al. 2020).</w:t>
        <w:br/>
        <w:br/>
        <w:t>A Proposed Mechanistic Comparison: Testing Divergences Between OC-Q4 and OC-Q5</w:t>
        <w:br/>
        <w:t>- Observed Ground Reality: OC-Q4 maintains a persistent Holarrhena thicket with high winter persistence (Winter NDVI = 0.6703). OC-Q5 exhibits low summer greenness (0.2137), an explosive monsoon flush (0.4992) dominated by Parthenium and Senna tora, and rapid post-monsoon collapse (Delta-NDVI = 0.2854).</w:t>
        <w:br/>
        <w:t>- Candidate Hypotheses to Test in Future Research:</w:t>
        <w:br/>
        <w:t xml:space="preserve">  * Soil Compaction Hypothesis: OC-Q5 may experience mechanical penetration resistance &gt; 2.5 MPa restricting roots to &lt; 10 cm, whereas OC-Q4 possesses deeper rooting.</w:t>
        <w:br/>
        <w:t xml:space="preserve">  * Infiltration Hypothesis: Surface crusting on raw spoil in OC-Q5 restricts infiltration to &lt; 5 mm/h, whereas OC-Q4 maintains higher percolation.</w:t>
        <w:br/>
        <w:t xml:space="preserve">  * Topsoil Replacement Hypothesis: OC-Q4 benefited from earlier topsoil capping (10–20 cm) and organic matter, whereas OC-Q5 represents raw unamended shale.</w:t>
        <w:br/>
        <w:t xml:space="preserve">  * Seed Rain Hypothesis: OC-Q4 is located closer to unmined forest seed sources (320 m), whereas OC-Q5 is isolated in the active pit zone.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97D"/>
          </w:tcPr>
          <w:p>
            <w:pPr>
              <w:jc w:val="center"/>
            </w:pPr>
            <w:r>
              <w:rPr>
                <w:rFonts w:ascii="Arial" w:hAnsi="Arial"/>
                <w:b/>
                <w:color w:val="FFFFFF"/>
                <w:sz w:val="16"/>
              </w:rPr>
              <w:t>Scientific Name</w:t>
            </w:r>
          </w:p>
        </w:tc>
        <w:tc>
          <w:tcPr>
            <w:tcW w:type="dxa" w:w="1656"/>
            <w:shd w:fill="1F497D"/>
          </w:tcPr>
          <w:p>
            <w:pPr>
              <w:jc w:val="center"/>
            </w:pPr>
            <w:r>
              <w:rPr>
                <w:rFonts w:ascii="Arial" w:hAnsi="Arial"/>
                <w:b/>
                <w:color w:val="FFFFFF"/>
                <w:sz w:val="16"/>
              </w:rPr>
              <w:t>Stratum</w:t>
            </w:r>
          </w:p>
        </w:tc>
        <w:tc>
          <w:tcPr>
            <w:tcW w:type="dxa" w:w="1656"/>
            <w:shd w:fill="1F497D"/>
          </w:tcPr>
          <w:p>
            <w:pPr>
              <w:jc w:val="center"/>
            </w:pPr>
            <w:r>
              <w:rPr>
                <w:rFonts w:ascii="Arial" w:hAnsi="Arial"/>
                <w:b/>
                <w:color w:val="FFFFFF"/>
                <w:sz w:val="16"/>
              </w:rPr>
              <w:t>Ground Status</w:t>
            </w:r>
          </w:p>
        </w:tc>
        <w:tc>
          <w:tcPr>
            <w:tcW w:type="dxa" w:w="1656"/>
            <w:shd w:fill="1F497D"/>
          </w:tcPr>
          <w:p>
            <w:pPr>
              <w:jc w:val="center"/>
            </w:pPr>
            <w:r>
              <w:rPr>
                <w:rFonts w:ascii="Arial" w:hAnsi="Arial"/>
                <w:b/>
                <w:color w:val="FFFFFF"/>
                <w:sz w:val="16"/>
              </w:rPr>
              <w:t>POWO Provenance</w:t>
            </w:r>
          </w:p>
        </w:tc>
        <w:tc>
          <w:tcPr>
            <w:tcW w:type="dxa" w:w="1656"/>
            <w:shd w:fill="1F497D"/>
          </w:tcPr>
          <w:p>
            <w:pPr>
              <w:jc w:val="center"/>
            </w:pPr>
            <w:r>
              <w:rPr>
                <w:rFonts w:ascii="Arial" w:hAnsi="Arial"/>
                <w:b/>
                <w:color w:val="FFFFFF"/>
                <w:sz w:val="16"/>
              </w:rPr>
              <w:t>LPWG N-Fixing</w:t>
            </w:r>
          </w:p>
        </w:tc>
        <w:tc>
          <w:tcPr>
            <w:tcW w:type="dxa" w:w="1656"/>
            <w:shd w:fill="1F497D"/>
          </w:tcPr>
          <w:p>
            <w:pPr>
              <w:jc w:val="center"/>
            </w:pPr>
            <w:r>
              <w:rPr>
                <w:rFonts w:ascii="Arial" w:hAnsi="Arial"/>
                <w:b/>
                <w:color w:val="FFFFFF"/>
                <w:sz w:val="16"/>
              </w:rPr>
              <w:t>Inferred CSR</w:t>
            </w:r>
          </w:p>
        </w:tc>
      </w:tr>
      <w:tr>
        <w:tc>
          <w:tcPr>
            <w:tcW w:type="dxa" w:w="1656"/>
            <w:shd w:fill="FFFFFF"/>
            <w:tcBorders>
              <w:top w:val="single" w:sz="2" w:space="0" w:color="D0D7DE"/>
              <w:bottom w:val="single" w:sz="2" w:space="0" w:color="D0D7DE"/>
            </w:tcBorders>
          </w:tcPr>
          <w:p>
            <w:pPr>
              <w:jc w:val="left"/>
            </w:pPr>
            <w:r>
              <w:rPr>
                <w:rFonts w:ascii="Arial" w:hAnsi="Arial"/>
                <w:sz w:val="15"/>
              </w:rPr>
              <w:t>Shorea robusta</w:t>
            </w:r>
          </w:p>
        </w:tc>
        <w:tc>
          <w:tcPr>
            <w:tcW w:type="dxa" w:w="1656"/>
            <w:shd w:fill="FFFFFF"/>
            <w:tcBorders>
              <w:top w:val="single" w:sz="2" w:space="0" w:color="D0D7DE"/>
              <w:bottom w:val="single" w:sz="2" w:space="0" w:color="D0D7DE"/>
            </w:tcBorders>
          </w:tcPr>
          <w:p>
            <w:pPr>
              <w:jc w:val="left"/>
            </w:pPr>
            <w:r>
              <w:rPr>
                <w:rFonts w:ascii="Arial" w:hAnsi="Arial"/>
                <w:sz w:val="15"/>
              </w:rPr>
              <w:t>Tree</w:t>
            </w:r>
          </w:p>
        </w:tc>
        <w:tc>
          <w:tcPr>
            <w:tcW w:type="dxa" w:w="1656"/>
            <w:shd w:fill="FFFFFF"/>
            <w:tcBorders>
              <w:top w:val="single" w:sz="2" w:space="0" w:color="D0D7DE"/>
              <w:bottom w:val="single" w:sz="2" w:space="0" w:color="D0D7DE"/>
            </w:tcBorders>
          </w:tcPr>
          <w:p>
            <w:pPr>
              <w:jc w:val="left"/>
            </w:pPr>
            <w:r>
              <w:rPr>
                <w:rFonts w:ascii="Arial" w:hAnsi="Arial"/>
                <w:sz w:val="15"/>
              </w:rPr>
              <w:t>Native</w:t>
            </w:r>
          </w:p>
        </w:tc>
        <w:tc>
          <w:tcPr>
            <w:tcW w:type="dxa" w:w="1656"/>
            <w:shd w:fill="FFFFFF"/>
            <w:tcBorders>
              <w:top w:val="single" w:sz="2" w:space="0" w:color="D0D7DE"/>
              <w:bottom w:val="single" w:sz="2" w:space="0" w:color="D0D7DE"/>
            </w:tcBorders>
          </w:tcPr>
          <w:p>
            <w:pPr>
              <w:jc w:val="left"/>
            </w:pPr>
            <w:r>
              <w:rPr>
                <w:rFonts w:ascii="Arial" w:hAnsi="Arial"/>
                <w:sz w:val="15"/>
              </w:rPr>
              <w:t>Native</w:t>
            </w:r>
          </w:p>
        </w:tc>
        <w:tc>
          <w:tcPr>
            <w:tcW w:type="dxa" w:w="1656"/>
            <w:shd w:fill="FFFFFF"/>
            <w:tcBorders>
              <w:top w:val="single" w:sz="2" w:space="0" w:color="D0D7DE"/>
              <w:bottom w:val="single" w:sz="2" w:space="0" w:color="D0D7DE"/>
            </w:tcBorders>
          </w:tcPr>
          <w:p>
            <w:pPr>
              <w:jc w:val="left"/>
            </w:pPr>
            <w:r>
              <w:rPr>
                <w:rFonts w:ascii="Arial" w:hAnsi="Arial"/>
                <w:sz w:val="15"/>
              </w:rPr>
              <w:t>No</w:t>
            </w:r>
          </w:p>
        </w:tc>
        <w:tc>
          <w:tcPr>
            <w:tcW w:type="dxa" w:w="1656"/>
            <w:shd w:fill="FFFFFF"/>
            <w:tcBorders>
              <w:top w:val="single" w:sz="2" w:space="0" w:color="D0D7DE"/>
              <w:bottom w:val="single" w:sz="2" w:space="0" w:color="D0D7DE"/>
            </w:tcBorders>
          </w:tcPr>
          <w:p>
            <w:pPr>
              <w:jc w:val="left"/>
            </w:pPr>
            <w:r>
              <w:rPr>
                <w:rFonts w:ascii="Arial" w:hAnsi="Arial"/>
                <w:sz w:val="15"/>
              </w:rPr>
              <w:t>Competitor (C)</w:t>
            </w:r>
          </w:p>
        </w:tc>
      </w:tr>
      <w:tr>
        <w:tc>
          <w:tcPr>
            <w:tcW w:type="dxa" w:w="1656"/>
            <w:shd w:fill="F2F5F8"/>
            <w:tcBorders>
              <w:top w:val="single" w:sz="2" w:space="0" w:color="D0D7DE"/>
              <w:bottom w:val="single" w:sz="2" w:space="0" w:color="D0D7DE"/>
            </w:tcBorders>
          </w:tcPr>
          <w:p>
            <w:pPr>
              <w:jc w:val="left"/>
            </w:pPr>
            <w:r>
              <w:rPr>
                <w:rFonts w:ascii="Arial" w:hAnsi="Arial"/>
                <w:sz w:val="15"/>
              </w:rPr>
              <w:t>Terminalia tomentosa</w:t>
            </w:r>
          </w:p>
        </w:tc>
        <w:tc>
          <w:tcPr>
            <w:tcW w:type="dxa" w:w="1656"/>
            <w:shd w:fill="F2F5F8"/>
            <w:tcBorders>
              <w:top w:val="single" w:sz="2" w:space="0" w:color="D0D7DE"/>
              <w:bottom w:val="single" w:sz="2" w:space="0" w:color="D0D7DE"/>
            </w:tcBorders>
          </w:tcPr>
          <w:p>
            <w:pPr>
              <w:jc w:val="left"/>
            </w:pPr>
            <w:r>
              <w:rPr>
                <w:rFonts w:ascii="Arial" w:hAnsi="Arial"/>
                <w:sz w:val="15"/>
              </w:rPr>
              <w:t>Tree</w:t>
            </w:r>
          </w:p>
        </w:tc>
        <w:tc>
          <w:tcPr>
            <w:tcW w:type="dxa" w:w="1656"/>
            <w:shd w:fill="F2F5F8"/>
            <w:tcBorders>
              <w:top w:val="single" w:sz="2" w:space="0" w:color="D0D7DE"/>
              <w:bottom w:val="single" w:sz="2" w:space="0" w:color="D0D7DE"/>
            </w:tcBorders>
          </w:tcPr>
          <w:p>
            <w:pPr>
              <w:jc w:val="left"/>
            </w:pPr>
            <w:r>
              <w:rPr>
                <w:rFonts w:ascii="Arial" w:hAnsi="Arial"/>
                <w:sz w:val="15"/>
              </w:rPr>
              <w:t>Native</w:t>
            </w:r>
          </w:p>
        </w:tc>
        <w:tc>
          <w:tcPr>
            <w:tcW w:type="dxa" w:w="1656"/>
            <w:shd w:fill="F2F5F8"/>
            <w:tcBorders>
              <w:top w:val="single" w:sz="2" w:space="0" w:color="D0D7DE"/>
              <w:bottom w:val="single" w:sz="2" w:space="0" w:color="D0D7DE"/>
            </w:tcBorders>
          </w:tcPr>
          <w:p>
            <w:pPr>
              <w:jc w:val="left"/>
            </w:pPr>
            <w:r>
              <w:rPr>
                <w:rFonts w:ascii="Arial" w:hAnsi="Arial"/>
                <w:sz w:val="15"/>
              </w:rPr>
              <w:t>Native</w:t>
            </w:r>
          </w:p>
        </w:tc>
        <w:tc>
          <w:tcPr>
            <w:tcW w:type="dxa" w:w="1656"/>
            <w:shd w:fill="F2F5F8"/>
            <w:tcBorders>
              <w:top w:val="single" w:sz="2" w:space="0" w:color="D0D7DE"/>
              <w:bottom w:val="single" w:sz="2" w:space="0" w:color="D0D7DE"/>
            </w:tcBorders>
          </w:tcPr>
          <w:p>
            <w:pPr>
              <w:jc w:val="left"/>
            </w:pPr>
            <w:r>
              <w:rPr>
                <w:rFonts w:ascii="Arial" w:hAnsi="Arial"/>
                <w:sz w:val="15"/>
              </w:rPr>
              <w:t>No</w:t>
            </w:r>
          </w:p>
        </w:tc>
        <w:tc>
          <w:tcPr>
            <w:tcW w:type="dxa" w:w="1656"/>
            <w:shd w:fill="F2F5F8"/>
            <w:tcBorders>
              <w:top w:val="single" w:sz="2" w:space="0" w:color="D0D7DE"/>
              <w:bottom w:val="single" w:sz="2" w:space="0" w:color="D0D7DE"/>
            </w:tcBorders>
          </w:tcPr>
          <w:p>
            <w:pPr>
              <w:jc w:val="left"/>
            </w:pPr>
            <w:r>
              <w:rPr>
                <w:rFonts w:ascii="Arial" w:hAnsi="Arial"/>
                <w:sz w:val="15"/>
              </w:rPr>
              <w:t>Stress-Tolerator (S)</w:t>
            </w:r>
          </w:p>
        </w:tc>
      </w:tr>
      <w:tr>
        <w:tc>
          <w:tcPr>
            <w:tcW w:type="dxa" w:w="1656"/>
            <w:shd w:fill="FFFFFF"/>
            <w:tcBorders>
              <w:top w:val="single" w:sz="2" w:space="0" w:color="D0D7DE"/>
              <w:bottom w:val="single" w:sz="2" w:space="0" w:color="D0D7DE"/>
            </w:tcBorders>
          </w:tcPr>
          <w:p>
            <w:pPr>
              <w:jc w:val="left"/>
            </w:pPr>
            <w:r>
              <w:rPr>
                <w:rFonts w:ascii="Arial" w:hAnsi="Arial"/>
                <w:sz w:val="15"/>
              </w:rPr>
              <w:t>Terminalia elliptica</w:t>
            </w:r>
          </w:p>
        </w:tc>
        <w:tc>
          <w:tcPr>
            <w:tcW w:type="dxa" w:w="1656"/>
            <w:shd w:fill="FFFFFF"/>
            <w:tcBorders>
              <w:top w:val="single" w:sz="2" w:space="0" w:color="D0D7DE"/>
              <w:bottom w:val="single" w:sz="2" w:space="0" w:color="D0D7DE"/>
            </w:tcBorders>
          </w:tcPr>
          <w:p>
            <w:pPr>
              <w:jc w:val="left"/>
            </w:pPr>
            <w:r>
              <w:rPr>
                <w:rFonts w:ascii="Arial" w:hAnsi="Arial"/>
                <w:sz w:val="15"/>
              </w:rPr>
              <w:t>Tree</w:t>
            </w:r>
          </w:p>
        </w:tc>
        <w:tc>
          <w:tcPr>
            <w:tcW w:type="dxa" w:w="1656"/>
            <w:shd w:fill="FFFFFF"/>
            <w:tcBorders>
              <w:top w:val="single" w:sz="2" w:space="0" w:color="D0D7DE"/>
              <w:bottom w:val="single" w:sz="2" w:space="0" w:color="D0D7DE"/>
            </w:tcBorders>
          </w:tcPr>
          <w:p>
            <w:pPr>
              <w:jc w:val="left"/>
            </w:pPr>
            <w:r>
              <w:rPr>
                <w:rFonts w:ascii="Arial" w:hAnsi="Arial"/>
                <w:sz w:val="15"/>
              </w:rPr>
              <w:t>Native</w:t>
            </w:r>
          </w:p>
        </w:tc>
        <w:tc>
          <w:tcPr>
            <w:tcW w:type="dxa" w:w="1656"/>
            <w:shd w:fill="FFFFFF"/>
            <w:tcBorders>
              <w:top w:val="single" w:sz="2" w:space="0" w:color="D0D7DE"/>
              <w:bottom w:val="single" w:sz="2" w:space="0" w:color="D0D7DE"/>
            </w:tcBorders>
          </w:tcPr>
          <w:p>
            <w:pPr>
              <w:jc w:val="left"/>
            </w:pPr>
            <w:r>
              <w:rPr>
                <w:rFonts w:ascii="Arial" w:hAnsi="Arial"/>
                <w:sz w:val="15"/>
              </w:rPr>
              <w:t>Native</w:t>
            </w:r>
          </w:p>
        </w:tc>
        <w:tc>
          <w:tcPr>
            <w:tcW w:type="dxa" w:w="1656"/>
            <w:shd w:fill="FFFFFF"/>
            <w:tcBorders>
              <w:top w:val="single" w:sz="2" w:space="0" w:color="D0D7DE"/>
              <w:bottom w:val="single" w:sz="2" w:space="0" w:color="D0D7DE"/>
            </w:tcBorders>
          </w:tcPr>
          <w:p>
            <w:pPr>
              <w:jc w:val="left"/>
            </w:pPr>
            <w:r>
              <w:rPr>
                <w:rFonts w:ascii="Arial" w:hAnsi="Arial"/>
                <w:sz w:val="15"/>
              </w:rPr>
              <w:t>No</w:t>
            </w:r>
          </w:p>
        </w:tc>
        <w:tc>
          <w:tcPr>
            <w:tcW w:type="dxa" w:w="1656"/>
            <w:shd w:fill="FFFFFF"/>
            <w:tcBorders>
              <w:top w:val="single" w:sz="2" w:space="0" w:color="D0D7DE"/>
              <w:bottom w:val="single" w:sz="2" w:space="0" w:color="D0D7DE"/>
            </w:tcBorders>
          </w:tcPr>
          <w:p>
            <w:pPr>
              <w:jc w:val="left"/>
            </w:pPr>
            <w:r>
              <w:rPr>
                <w:rFonts w:ascii="Arial" w:hAnsi="Arial"/>
                <w:sz w:val="15"/>
              </w:rPr>
              <w:t>Stress-Tolerator (S)</w:t>
            </w:r>
          </w:p>
        </w:tc>
      </w:tr>
      <w:tr>
        <w:tc>
          <w:tcPr>
            <w:tcW w:type="dxa" w:w="1656"/>
            <w:shd w:fill="F2F5F8"/>
            <w:tcBorders>
              <w:top w:val="single" w:sz="2" w:space="0" w:color="D0D7DE"/>
              <w:bottom w:val="single" w:sz="2" w:space="0" w:color="D0D7DE"/>
            </w:tcBorders>
          </w:tcPr>
          <w:p>
            <w:pPr>
              <w:jc w:val="left"/>
            </w:pPr>
            <w:r>
              <w:rPr>
                <w:rFonts w:ascii="Arial" w:hAnsi="Arial"/>
                <w:sz w:val="15"/>
              </w:rPr>
              <w:t>Diospyros melanoxylon</w:t>
            </w:r>
          </w:p>
        </w:tc>
        <w:tc>
          <w:tcPr>
            <w:tcW w:type="dxa" w:w="1656"/>
            <w:shd w:fill="F2F5F8"/>
            <w:tcBorders>
              <w:top w:val="single" w:sz="2" w:space="0" w:color="D0D7DE"/>
              <w:bottom w:val="single" w:sz="2" w:space="0" w:color="D0D7DE"/>
            </w:tcBorders>
          </w:tcPr>
          <w:p>
            <w:pPr>
              <w:jc w:val="left"/>
            </w:pPr>
            <w:r>
              <w:rPr>
                <w:rFonts w:ascii="Arial" w:hAnsi="Arial"/>
                <w:sz w:val="15"/>
              </w:rPr>
              <w:t>Tree</w:t>
            </w:r>
          </w:p>
        </w:tc>
        <w:tc>
          <w:tcPr>
            <w:tcW w:type="dxa" w:w="1656"/>
            <w:shd w:fill="F2F5F8"/>
            <w:tcBorders>
              <w:top w:val="single" w:sz="2" w:space="0" w:color="D0D7DE"/>
              <w:bottom w:val="single" w:sz="2" w:space="0" w:color="D0D7DE"/>
            </w:tcBorders>
          </w:tcPr>
          <w:p>
            <w:pPr>
              <w:jc w:val="left"/>
            </w:pPr>
            <w:r>
              <w:rPr>
                <w:rFonts w:ascii="Arial" w:hAnsi="Arial"/>
                <w:sz w:val="15"/>
              </w:rPr>
              <w:t>Native</w:t>
            </w:r>
          </w:p>
        </w:tc>
        <w:tc>
          <w:tcPr>
            <w:tcW w:type="dxa" w:w="1656"/>
            <w:shd w:fill="F2F5F8"/>
            <w:tcBorders>
              <w:top w:val="single" w:sz="2" w:space="0" w:color="D0D7DE"/>
              <w:bottom w:val="single" w:sz="2" w:space="0" w:color="D0D7DE"/>
            </w:tcBorders>
          </w:tcPr>
          <w:p>
            <w:pPr>
              <w:jc w:val="left"/>
            </w:pPr>
            <w:r>
              <w:rPr>
                <w:rFonts w:ascii="Arial" w:hAnsi="Arial"/>
                <w:sz w:val="15"/>
              </w:rPr>
              <w:t>Native</w:t>
            </w:r>
          </w:p>
        </w:tc>
        <w:tc>
          <w:tcPr>
            <w:tcW w:type="dxa" w:w="1656"/>
            <w:shd w:fill="F2F5F8"/>
            <w:tcBorders>
              <w:top w:val="single" w:sz="2" w:space="0" w:color="D0D7DE"/>
              <w:bottom w:val="single" w:sz="2" w:space="0" w:color="D0D7DE"/>
            </w:tcBorders>
          </w:tcPr>
          <w:p>
            <w:pPr>
              <w:jc w:val="left"/>
            </w:pPr>
            <w:r>
              <w:rPr>
                <w:rFonts w:ascii="Arial" w:hAnsi="Arial"/>
                <w:sz w:val="15"/>
              </w:rPr>
              <w:t>No</w:t>
            </w:r>
          </w:p>
        </w:tc>
        <w:tc>
          <w:tcPr>
            <w:tcW w:type="dxa" w:w="1656"/>
            <w:shd w:fill="F2F5F8"/>
            <w:tcBorders>
              <w:top w:val="single" w:sz="2" w:space="0" w:color="D0D7DE"/>
              <w:bottom w:val="single" w:sz="2" w:space="0" w:color="D0D7DE"/>
            </w:tcBorders>
          </w:tcPr>
          <w:p>
            <w:pPr>
              <w:jc w:val="left"/>
            </w:pPr>
            <w:r>
              <w:rPr>
                <w:rFonts w:ascii="Arial" w:hAnsi="Arial"/>
                <w:sz w:val="15"/>
              </w:rPr>
              <w:t>Stress-Tolerator (S)</w:t>
            </w:r>
          </w:p>
        </w:tc>
      </w:tr>
      <w:tr>
        <w:tc>
          <w:tcPr>
            <w:tcW w:type="dxa" w:w="1656"/>
            <w:shd w:fill="FFFFFF"/>
            <w:tcBorders>
              <w:top w:val="single" w:sz="2" w:space="0" w:color="D0D7DE"/>
              <w:bottom w:val="single" w:sz="2" w:space="0" w:color="D0D7DE"/>
            </w:tcBorders>
          </w:tcPr>
          <w:p>
            <w:pPr>
              <w:jc w:val="left"/>
            </w:pPr>
            <w:r>
              <w:rPr>
                <w:rFonts w:ascii="Arial" w:hAnsi="Arial"/>
                <w:sz w:val="15"/>
              </w:rPr>
              <w:t>Madhuca longifolia</w:t>
            </w:r>
          </w:p>
        </w:tc>
        <w:tc>
          <w:tcPr>
            <w:tcW w:type="dxa" w:w="1656"/>
            <w:shd w:fill="FFFFFF"/>
            <w:tcBorders>
              <w:top w:val="single" w:sz="2" w:space="0" w:color="D0D7DE"/>
              <w:bottom w:val="single" w:sz="2" w:space="0" w:color="D0D7DE"/>
            </w:tcBorders>
          </w:tcPr>
          <w:p>
            <w:pPr>
              <w:jc w:val="left"/>
            </w:pPr>
            <w:r>
              <w:rPr>
                <w:rFonts w:ascii="Arial" w:hAnsi="Arial"/>
                <w:sz w:val="15"/>
              </w:rPr>
              <w:t>Tree</w:t>
            </w:r>
          </w:p>
        </w:tc>
        <w:tc>
          <w:tcPr>
            <w:tcW w:type="dxa" w:w="1656"/>
            <w:shd w:fill="FFFFFF"/>
            <w:tcBorders>
              <w:top w:val="single" w:sz="2" w:space="0" w:color="D0D7DE"/>
              <w:bottom w:val="single" w:sz="2" w:space="0" w:color="D0D7DE"/>
            </w:tcBorders>
          </w:tcPr>
          <w:p>
            <w:pPr>
              <w:jc w:val="left"/>
            </w:pPr>
            <w:r>
              <w:rPr>
                <w:rFonts w:ascii="Arial" w:hAnsi="Arial"/>
                <w:sz w:val="15"/>
              </w:rPr>
              <w:t>Native</w:t>
            </w:r>
          </w:p>
        </w:tc>
        <w:tc>
          <w:tcPr>
            <w:tcW w:type="dxa" w:w="1656"/>
            <w:shd w:fill="FFFFFF"/>
            <w:tcBorders>
              <w:top w:val="single" w:sz="2" w:space="0" w:color="D0D7DE"/>
              <w:bottom w:val="single" w:sz="2" w:space="0" w:color="D0D7DE"/>
            </w:tcBorders>
          </w:tcPr>
          <w:p>
            <w:pPr>
              <w:jc w:val="left"/>
            </w:pPr>
            <w:r>
              <w:rPr>
                <w:rFonts w:ascii="Arial" w:hAnsi="Arial"/>
                <w:sz w:val="15"/>
              </w:rPr>
              <w:t>Native</w:t>
            </w:r>
          </w:p>
        </w:tc>
        <w:tc>
          <w:tcPr>
            <w:tcW w:type="dxa" w:w="1656"/>
            <w:shd w:fill="FFFFFF"/>
            <w:tcBorders>
              <w:top w:val="single" w:sz="2" w:space="0" w:color="D0D7DE"/>
              <w:bottom w:val="single" w:sz="2" w:space="0" w:color="D0D7DE"/>
            </w:tcBorders>
          </w:tcPr>
          <w:p>
            <w:pPr>
              <w:jc w:val="left"/>
            </w:pPr>
            <w:r>
              <w:rPr>
                <w:rFonts w:ascii="Arial" w:hAnsi="Arial"/>
                <w:sz w:val="15"/>
              </w:rPr>
              <w:t>No</w:t>
            </w:r>
          </w:p>
        </w:tc>
        <w:tc>
          <w:tcPr>
            <w:tcW w:type="dxa" w:w="1656"/>
            <w:shd w:fill="FFFFFF"/>
            <w:tcBorders>
              <w:top w:val="single" w:sz="2" w:space="0" w:color="D0D7DE"/>
              <w:bottom w:val="single" w:sz="2" w:space="0" w:color="D0D7DE"/>
            </w:tcBorders>
          </w:tcPr>
          <w:p>
            <w:pPr>
              <w:jc w:val="left"/>
            </w:pPr>
            <w:r>
              <w:rPr>
                <w:rFonts w:ascii="Arial" w:hAnsi="Arial"/>
                <w:sz w:val="15"/>
              </w:rPr>
              <w:t>Competitor-Stress Tolerator (CS)</w:t>
            </w:r>
          </w:p>
        </w:tc>
      </w:tr>
      <w:tr>
        <w:tc>
          <w:tcPr>
            <w:tcW w:type="dxa" w:w="1656"/>
            <w:shd w:fill="F2F5F8"/>
            <w:tcBorders>
              <w:top w:val="single" w:sz="2" w:space="0" w:color="D0D7DE"/>
              <w:bottom w:val="single" w:sz="2" w:space="0" w:color="D0D7DE"/>
            </w:tcBorders>
          </w:tcPr>
          <w:p>
            <w:pPr>
              <w:jc w:val="left"/>
            </w:pPr>
            <w:r>
              <w:rPr>
                <w:rFonts w:ascii="Arial" w:hAnsi="Arial"/>
                <w:sz w:val="15"/>
              </w:rPr>
              <w:t>Butea monosperma</w:t>
            </w:r>
          </w:p>
        </w:tc>
        <w:tc>
          <w:tcPr>
            <w:tcW w:type="dxa" w:w="1656"/>
            <w:shd w:fill="F2F5F8"/>
            <w:tcBorders>
              <w:top w:val="single" w:sz="2" w:space="0" w:color="D0D7DE"/>
              <w:bottom w:val="single" w:sz="2" w:space="0" w:color="D0D7DE"/>
            </w:tcBorders>
          </w:tcPr>
          <w:p>
            <w:pPr>
              <w:jc w:val="left"/>
            </w:pPr>
            <w:r>
              <w:rPr>
                <w:rFonts w:ascii="Arial" w:hAnsi="Arial"/>
                <w:sz w:val="15"/>
              </w:rPr>
              <w:t>Tree</w:t>
            </w:r>
          </w:p>
        </w:tc>
        <w:tc>
          <w:tcPr>
            <w:tcW w:type="dxa" w:w="1656"/>
            <w:shd w:fill="F2F5F8"/>
            <w:tcBorders>
              <w:top w:val="single" w:sz="2" w:space="0" w:color="D0D7DE"/>
              <w:bottom w:val="single" w:sz="2" w:space="0" w:color="D0D7DE"/>
            </w:tcBorders>
          </w:tcPr>
          <w:p>
            <w:pPr>
              <w:jc w:val="left"/>
            </w:pPr>
            <w:r>
              <w:rPr>
                <w:rFonts w:ascii="Arial" w:hAnsi="Arial"/>
                <w:sz w:val="15"/>
              </w:rPr>
              <w:t>Native</w:t>
            </w:r>
          </w:p>
        </w:tc>
        <w:tc>
          <w:tcPr>
            <w:tcW w:type="dxa" w:w="1656"/>
            <w:shd w:fill="F2F5F8"/>
            <w:tcBorders>
              <w:top w:val="single" w:sz="2" w:space="0" w:color="D0D7DE"/>
              <w:bottom w:val="single" w:sz="2" w:space="0" w:color="D0D7DE"/>
            </w:tcBorders>
          </w:tcPr>
          <w:p>
            <w:pPr>
              <w:jc w:val="left"/>
            </w:pPr>
            <w:r>
              <w:rPr>
                <w:rFonts w:ascii="Arial" w:hAnsi="Arial"/>
                <w:sz w:val="15"/>
              </w:rPr>
              <w:t>Native</w:t>
            </w:r>
          </w:p>
        </w:tc>
        <w:tc>
          <w:tcPr>
            <w:tcW w:type="dxa" w:w="1656"/>
            <w:shd w:fill="F2F5F8"/>
            <w:tcBorders>
              <w:top w:val="single" w:sz="2" w:space="0" w:color="D0D7DE"/>
              <w:bottom w:val="single" w:sz="2" w:space="0" w:color="D0D7DE"/>
            </w:tcBorders>
          </w:tcPr>
          <w:p>
            <w:pPr>
              <w:jc w:val="left"/>
            </w:pPr>
            <w:r>
              <w:rPr>
                <w:rFonts w:ascii="Arial" w:hAnsi="Arial"/>
                <w:sz w:val="15"/>
              </w:rPr>
              <w:t>Yes (Nodule-forming)</w:t>
            </w:r>
          </w:p>
        </w:tc>
        <w:tc>
          <w:tcPr>
            <w:tcW w:type="dxa" w:w="1656"/>
            <w:shd w:fill="F2F5F8"/>
            <w:tcBorders>
              <w:top w:val="single" w:sz="2" w:space="0" w:color="D0D7DE"/>
              <w:bottom w:val="single" w:sz="2" w:space="0" w:color="D0D7DE"/>
            </w:tcBorders>
          </w:tcPr>
          <w:p>
            <w:pPr>
              <w:jc w:val="left"/>
            </w:pPr>
            <w:r>
              <w:rPr>
                <w:rFonts w:ascii="Arial" w:hAnsi="Arial"/>
                <w:sz w:val="15"/>
              </w:rPr>
              <w:t>Stress-Tolerator (S)</w:t>
            </w:r>
          </w:p>
        </w:tc>
      </w:tr>
      <w:tr>
        <w:tc>
          <w:tcPr>
            <w:tcW w:type="dxa" w:w="1656"/>
            <w:shd w:fill="FFFFFF"/>
            <w:tcBorders>
              <w:top w:val="single" w:sz="2" w:space="0" w:color="D0D7DE"/>
              <w:bottom w:val="single" w:sz="2" w:space="0" w:color="D0D7DE"/>
            </w:tcBorders>
          </w:tcPr>
          <w:p>
            <w:pPr>
              <w:jc w:val="left"/>
            </w:pPr>
            <w:r>
              <w:rPr>
                <w:rFonts w:ascii="Arial" w:hAnsi="Arial"/>
                <w:sz w:val="15"/>
              </w:rPr>
              <w:t>Pongamia pinnata</w:t>
            </w:r>
          </w:p>
        </w:tc>
        <w:tc>
          <w:tcPr>
            <w:tcW w:type="dxa" w:w="1656"/>
            <w:shd w:fill="FFFFFF"/>
            <w:tcBorders>
              <w:top w:val="single" w:sz="2" w:space="0" w:color="D0D7DE"/>
              <w:bottom w:val="single" w:sz="2" w:space="0" w:color="D0D7DE"/>
            </w:tcBorders>
          </w:tcPr>
          <w:p>
            <w:pPr>
              <w:jc w:val="left"/>
            </w:pPr>
            <w:r>
              <w:rPr>
                <w:rFonts w:ascii="Arial" w:hAnsi="Arial"/>
                <w:sz w:val="15"/>
              </w:rPr>
              <w:t>Tree</w:t>
            </w:r>
          </w:p>
        </w:tc>
        <w:tc>
          <w:tcPr>
            <w:tcW w:type="dxa" w:w="1656"/>
            <w:shd w:fill="FFFFFF"/>
            <w:tcBorders>
              <w:top w:val="single" w:sz="2" w:space="0" w:color="D0D7DE"/>
              <w:bottom w:val="single" w:sz="2" w:space="0" w:color="D0D7DE"/>
            </w:tcBorders>
          </w:tcPr>
          <w:p>
            <w:pPr>
              <w:jc w:val="left"/>
            </w:pPr>
            <w:r>
              <w:rPr>
                <w:rFonts w:ascii="Arial" w:hAnsi="Arial"/>
                <w:sz w:val="15"/>
              </w:rPr>
              <w:t>Native / Planted</w:t>
            </w:r>
          </w:p>
        </w:tc>
        <w:tc>
          <w:tcPr>
            <w:tcW w:type="dxa" w:w="1656"/>
            <w:shd w:fill="FFFFFF"/>
            <w:tcBorders>
              <w:top w:val="single" w:sz="2" w:space="0" w:color="D0D7DE"/>
              <w:bottom w:val="single" w:sz="2" w:space="0" w:color="D0D7DE"/>
            </w:tcBorders>
          </w:tcPr>
          <w:p>
            <w:pPr>
              <w:jc w:val="left"/>
            </w:pPr>
            <w:r>
              <w:rPr>
                <w:rFonts w:ascii="Arial" w:hAnsi="Arial"/>
                <w:sz w:val="15"/>
              </w:rPr>
              <w:t>Native / Planted</w:t>
            </w:r>
          </w:p>
        </w:tc>
        <w:tc>
          <w:tcPr>
            <w:tcW w:type="dxa" w:w="1656"/>
            <w:shd w:fill="FFFFFF"/>
            <w:tcBorders>
              <w:top w:val="single" w:sz="2" w:space="0" w:color="D0D7DE"/>
              <w:bottom w:val="single" w:sz="2" w:space="0" w:color="D0D7DE"/>
            </w:tcBorders>
          </w:tcPr>
          <w:p>
            <w:pPr>
              <w:jc w:val="left"/>
            </w:pPr>
            <w:r>
              <w:rPr>
                <w:rFonts w:ascii="Arial" w:hAnsi="Arial"/>
                <w:sz w:val="15"/>
              </w:rPr>
              <w:t>Yes (Nodule-forming)</w:t>
            </w:r>
          </w:p>
        </w:tc>
        <w:tc>
          <w:tcPr>
            <w:tcW w:type="dxa" w:w="1656"/>
            <w:shd w:fill="FFFFFF"/>
            <w:tcBorders>
              <w:top w:val="single" w:sz="2" w:space="0" w:color="D0D7DE"/>
              <w:bottom w:val="single" w:sz="2" w:space="0" w:color="D0D7DE"/>
            </w:tcBorders>
          </w:tcPr>
          <w:p>
            <w:pPr>
              <w:jc w:val="left"/>
            </w:pPr>
            <w:r>
              <w:rPr>
                <w:rFonts w:ascii="Arial" w:hAnsi="Arial"/>
                <w:sz w:val="15"/>
              </w:rPr>
              <w:t>Competitor-Ruderal (CR)</w:t>
            </w:r>
          </w:p>
        </w:tc>
      </w:tr>
      <w:tr>
        <w:tc>
          <w:tcPr>
            <w:tcW w:type="dxa" w:w="1656"/>
            <w:shd w:fill="F2F5F8"/>
            <w:tcBorders>
              <w:top w:val="single" w:sz="2" w:space="0" w:color="D0D7DE"/>
              <w:bottom w:val="single" w:sz="2" w:space="0" w:color="D0D7DE"/>
            </w:tcBorders>
          </w:tcPr>
          <w:p>
            <w:pPr>
              <w:jc w:val="left"/>
            </w:pPr>
            <w:r>
              <w:rPr>
                <w:rFonts w:ascii="Arial" w:hAnsi="Arial"/>
                <w:sz w:val="15"/>
              </w:rPr>
              <w:t>Eucalyptus tereticornis</w:t>
            </w:r>
          </w:p>
        </w:tc>
        <w:tc>
          <w:tcPr>
            <w:tcW w:type="dxa" w:w="1656"/>
            <w:shd w:fill="F2F5F8"/>
            <w:tcBorders>
              <w:top w:val="single" w:sz="2" w:space="0" w:color="D0D7DE"/>
              <w:bottom w:val="single" w:sz="2" w:space="0" w:color="D0D7DE"/>
            </w:tcBorders>
          </w:tcPr>
          <w:p>
            <w:pPr>
              <w:jc w:val="left"/>
            </w:pPr>
            <w:r>
              <w:rPr>
                <w:rFonts w:ascii="Arial" w:hAnsi="Arial"/>
                <w:sz w:val="15"/>
              </w:rPr>
              <w:t>Tree</w:t>
            </w:r>
          </w:p>
        </w:tc>
        <w:tc>
          <w:tcPr>
            <w:tcW w:type="dxa" w:w="1656"/>
            <w:shd w:fill="F2F5F8"/>
            <w:tcBorders>
              <w:top w:val="single" w:sz="2" w:space="0" w:color="D0D7DE"/>
              <w:bottom w:val="single" w:sz="2" w:space="0" w:color="D0D7DE"/>
            </w:tcBorders>
          </w:tcPr>
          <w:p>
            <w:pPr>
              <w:jc w:val="left"/>
            </w:pPr>
            <w:r>
              <w:rPr>
                <w:rFonts w:ascii="Arial" w:hAnsi="Arial"/>
                <w:sz w:val="15"/>
              </w:rPr>
              <w:t>Exotic / Planted</w:t>
            </w:r>
          </w:p>
        </w:tc>
        <w:tc>
          <w:tcPr>
            <w:tcW w:type="dxa" w:w="1656"/>
            <w:shd w:fill="F2F5F8"/>
            <w:tcBorders>
              <w:top w:val="single" w:sz="2" w:space="0" w:color="D0D7DE"/>
              <w:bottom w:val="single" w:sz="2" w:space="0" w:color="D0D7DE"/>
            </w:tcBorders>
          </w:tcPr>
          <w:p>
            <w:pPr>
              <w:jc w:val="left"/>
            </w:pPr>
            <w:r>
              <w:rPr>
                <w:rFonts w:ascii="Arial" w:hAnsi="Arial"/>
                <w:sz w:val="15"/>
              </w:rPr>
              <w:t>Exotic / Planted</w:t>
            </w:r>
          </w:p>
        </w:tc>
        <w:tc>
          <w:tcPr>
            <w:tcW w:type="dxa" w:w="1656"/>
            <w:shd w:fill="F2F5F8"/>
            <w:tcBorders>
              <w:top w:val="single" w:sz="2" w:space="0" w:color="D0D7DE"/>
              <w:bottom w:val="single" w:sz="2" w:space="0" w:color="D0D7DE"/>
            </w:tcBorders>
          </w:tcPr>
          <w:p>
            <w:pPr>
              <w:jc w:val="left"/>
            </w:pPr>
            <w:r>
              <w:rPr>
                <w:rFonts w:ascii="Arial" w:hAnsi="Arial"/>
                <w:sz w:val="15"/>
              </w:rPr>
              <w:t>No</w:t>
            </w:r>
          </w:p>
        </w:tc>
        <w:tc>
          <w:tcPr>
            <w:tcW w:type="dxa" w:w="1656"/>
            <w:shd w:fill="F2F5F8"/>
            <w:tcBorders>
              <w:top w:val="single" w:sz="2" w:space="0" w:color="D0D7DE"/>
              <w:bottom w:val="single" w:sz="2" w:space="0" w:color="D0D7DE"/>
            </w:tcBorders>
          </w:tcPr>
          <w:p>
            <w:pPr>
              <w:jc w:val="left"/>
            </w:pPr>
            <w:r>
              <w:rPr>
                <w:rFonts w:ascii="Arial" w:hAnsi="Arial"/>
                <w:sz w:val="15"/>
              </w:rPr>
              <w:t>Competitor (C)</w:t>
            </w:r>
          </w:p>
        </w:tc>
      </w:tr>
    </w:tbl>
    <w:p>
      <w:r>
        <w:br w:type="page"/>
      </w:r>
    </w:p>
    <w:p>
      <w:pPr>
        <w:pStyle w:val="Heading1"/>
      </w:pPr>
      <w:r>
        <w:t>Part III: Prospective Study Design (Protocols &amp; Framework)</w:t>
      </w:r>
    </w:p>
    <w:p>
      <w:r>
        <w:t>1. Proposed Reference-Site Selection Protocol: 5 unmined Sal forest quadrats in Katghora/Lemru. Requires field confirmation of land-use history (≥ 50 yr undisturbed), parent material, elevation (290–330 m), slope (2–5°), permits, and differential GPS.</w:t>
        <w:br/>
        <w:t>2. Proposed Hierarchical N=75 Sampling Architecture: 15 independent site blocks (5 UG, 5 OC, 5 REF × 5 quadrats) to eliminate pseudoreplication.</w:t>
        <w:br/>
        <w:t>3. Proposed Mine-Restoration History Audit: Structured questionnaire documenting extraction dates, topsoil depth, amendments, and grazing/fire history.</w:t>
        <w:br/>
        <w:t>4. Proposed Soil Physical &amp; Biological Protocols: Double-ring infiltration (ASTM D3385), cone penetrometer, wet sieving, pressure plate; Vance CFE (MBC/MBN), Casida TTC (dehydrogenase), Tabatabai (phosphatase), AMF trypan blue clearing, earthworm hand sorting.</w:t>
        <w:br/>
        <w:t>5. Proposed Faunal Surveys: Fixed-route 200 m Pollard walk butterfly transects recording forest specialists vs. weed generalists.</w:t>
        <w:br/>
        <w:t>6. Proposed Mixed-Effects Model: Y ~ MiningType * Season + (1 | Site_ID) evaluating main effects and interaction terms.</w:t>
      </w:r>
    </w:p>
    <w:p>
      <w:pPr>
        <w:pStyle w:val="Heading1"/>
      </w:pPr>
      <w:r>
        <w:t>Part IV: Conceptual Model for Testing Soil–Vegetation Recovery Pathways</w:t>
      </w:r>
    </w:p>
    <w:p>
      <w:r>
        <w:t>Figure 5 illustrates the conceptual model relating soil compaction, hydraulic infiltration, seasonal phenological trajectories, and higher-trophic pollinator recovery. All curves, response ratios, and threshold lines shown in Figure 5 are conceptual hypotheses and methodological illustrations, NOT empirical measurements from the present study.</w:t>
      </w:r>
    </w:p>
    <w:p>
      <w:pPr>
        <w:pStyle w:val="Heading1"/>
      </w:pPr>
      <w:r>
        <w:t>Conclusion</w:t>
      </w:r>
    </w:p>
    <w:p>
      <w:r>
        <w:t>The current dataset supports a cautious comparison of seasonal soil and understory conditions between the sampled underground and opencast mining quadrats. Underground quadrats generally had higher soil organic carbon, total nitrogen, seasonal nutrient values, and dry- and winter-season vegetation persistence. Opencast quadrats showed greater variability, including both persistent woody vegetation and highly seasonal herbaceous cover. These patterns are consistent with different disturbance and recovery states, but they should not be interpreted as causal effects of mining method alone because the current design lacks independently sampled reference sites and broader site replication. The proposed restoration framework identifies the measurements required to test these mechanisms in a future study.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2B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218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