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2B49"/>
          <w:sz w:val="28"/>
        </w:rPr>
        <w:t>HIERARCHICAL REPLICATED SAMPLING ARCHITECTURE (N = 75 QUADRATS):</w:t>
        <w:br/>
        <w:t>Eliminating Pseudoreplication Across 15 Independent Landscape Blocks in Korba</w:t>
      </w:r>
    </w:p>
    <w:p>
      <w:pPr>
        <w:jc w:val="center"/>
      </w:pPr>
      <w:r>
        <w:rPr>
          <w:rFonts w:ascii="Arial" w:hAnsi="Arial"/>
          <w:i/>
          <w:color w:val="5A5A5A"/>
          <w:sz w:val="21"/>
        </w:rPr>
        <w:t>A Methodological Specification: 3 Landscape Classes × 5 Independent Sites × 5 Subsample Quadrats</w:t>
      </w:r>
    </w:p>
    <w:p/>
    <w:p>
      <w:pPr>
        <w:pStyle w:val="Heading1"/>
      </w:pPr>
      <w:r>
        <w:t>1. Executive Summary &amp; Design Rationale</w:t>
      </w:r>
    </w:p>
    <w:p>
      <w:r>
        <w:t>A fundamental limitation of many post-mining ecological surveys is spatial pseudoreplication: treating adjacent quadrats from a single mine lease as independent landscape replicates. In this upgraded research design, we establish an explicit hierarchical architecture comprising 15 genuinely independent site blocks distributed across a &gt;30 km landscape footprint in Korba, Chhattisgarh.</w:t>
        <w:br/>
        <w:br/>
        <w:t>Key Architectural Pillars:</w:t>
        <w:br/>
        <w:t>1. Three Landscape Classes: Underground mining leases (UG, n=5 sites), Opencast mining projects (OC, n=5 sites), and Unmined reference forests (REF, n=5 sites).</w:t>
        <w:br/>
        <w:t>2. Independent Landscape Replicates: Each of the 15 sites represents a distinct colliery lease, opencast overburden complex, or forest compartment with its own independent operational and management history.</w:t>
        <w:br/>
        <w:t>3. Nested Subsampling: Exactly 5 quadrats (10 × 10 m each) are surveyed within each site, spaced 50–120 m apart across micro-topographic strata. These are treated strictly as subsamples (nested random effects), ensuring that landscape-level inference is tested against site-to-site variance (df = 12), not inflated residual degrees of freedom.</w:t>
      </w:r>
    </w:p>
    <w:p>
      <w:pPr>
        <w:pStyle w:val="Heading1"/>
      </w:pPr>
      <w:r>
        <w:t>2. Master Metadata: 15 Independent Landscape Sites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Site ID</w:t>
            </w:r>
          </w:p>
        </w:tc>
        <w:tc>
          <w:tcPr>
            <w:tcW w:type="dxa" w:w="1656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Landscape Class</w:t>
            </w:r>
          </w:p>
        </w:tc>
        <w:tc>
          <w:tcPr>
            <w:tcW w:type="dxa" w:w="1656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Site Name &amp; Operator</w:t>
            </w:r>
          </w:p>
        </w:tc>
        <w:tc>
          <w:tcPr>
            <w:tcW w:type="dxa" w:w="1656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Coords &amp; Elev</w:t>
            </w:r>
          </w:p>
        </w:tc>
        <w:tc>
          <w:tcPr>
            <w:tcW w:type="dxa" w:w="1656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Operational / Substrate Status</w:t>
            </w:r>
          </w:p>
        </w:tc>
        <w:tc>
          <w:tcPr>
            <w:tcW w:type="dxa" w:w="1656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Dominant Vegetation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UG-SITE-01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Underground Mining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Banki Colliery (Incline No. 3 Lease)</w:t>
              <w:br/>
              <w:t>(SECL Korba Area)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22.422136°N, 82.586519°E</w:t>
              <w:br/>
              <w:t>(315.3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Active subsurface; surface profile intact</w:t>
              <w:br/>
              <w:t>[Barakar Formation (Sandstone/Shale)]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Terminalia elliptica, Vachellia nilotica, Ziziphus mauritiana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UG-SITE-02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Underground Mining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Balgi Colliery (Shaft Compartment Lease)</w:t>
              <w:br/>
              <w:t>(SECL Korba Area)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22.395806°N, 82.604232°E</w:t>
              <w:br/>
              <w:t>(306.0 m)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Active subsurface extraction; surface secondary woodland</w:t>
              <w:br/>
              <w:t>[Barakar Formation (Feldspathic sandstone)]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Diospyros melanoxylon, Ficus religiosa, Azadirachta indica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UG-SITE-03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Underground Mining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Surakachhar Colliery (East Block Incline)</w:t>
              <w:br/>
              <w:t>(SECL Korba Area)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22.404199°N, 82.633904°E</w:t>
              <w:br/>
              <w:t>(295.1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Active subsurface; extensive surface woodland</w:t>
              <w:br/>
              <w:t>[Barakar Formation (Coarse sandstone)]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Wrightia tinctoria, Azadirachta indica, Holarrhena pubescens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UG-SITE-04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Underground Mining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Dhelwadih Colliery (Mechanized North Section)</w:t>
              <w:br/>
              <w:t>(SECL Korba Area)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22.4312°N, 82.6485°E</w:t>
              <w:br/>
              <w:t>(289.0 m)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Mechanized longwall extraction; protected surface forest</w:t>
              <w:br/>
              <w:t>[Barakar Formation (Carbonaceous shale interbeds)]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Shorea robusta, Ficus virens, Woodfordia fruticosa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UG-SITE-05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Underground Mining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Singhali / Bagdeva Colliery (North Sector)</w:t>
              <w:br/>
              <w:t>(SECL Korba Area)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22.4612°N, 82.5921°E</w:t>
              <w:br/>
              <w:t>(318.5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Active underground incline; undulating surface terrain</w:t>
              <w:br/>
              <w:t>[Barakar / Raniganj transition]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Terminalia tomentosa, Alstonia scholaris, Nyctanthes arbor-tristis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OC-SITE-01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Opencast Mining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Gevra Opencast Project (External Dump No. 4)</w:t>
              <w:br/>
              <w:t>(SECL Gevra Area)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22.356579°N, 82.57891°E</w:t>
              <w:br/>
              <w:t>(298.5 m)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Technically reclaimed overburden dump (12-15 yr old)</w:t>
              <w:br/>
              <w:t>[Overburden Spoil (Crushed sandstone/shale)]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Eucalyptus tereticornis, Gmelina arborea, Dalbergia sissoo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OC-SITE-02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Opencast Mining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Dipka Opencast Project (West Overburden Complex)</w:t>
              <w:br/>
              <w:t>(SECL Dipka Area)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22.3182°N, 82.5345°E</w:t>
              <w:br/>
              <w:t>(305.0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Operational pit perimeter; southwest overburden dump slope</w:t>
              <w:br/>
              <w:t>[Overburden Spoil with alluvial silt deposits]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Ficus benghalensis, Carissa carandas, Cynodon dactylon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OC-SITE-03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Opencast Mining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Kusmunda Opencast Project (North Overburden Dump)</w:t>
              <w:br/>
              <w:t>(SECL Kusmunda Area)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22.3245°N, 82.6812°E</w:t>
              <w:br/>
              <w:t>(308.4 m)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Reclaimed overburden dump (8-10 yr plantation)</w:t>
              <w:br/>
              <w:t>[Coarse Sandstone Boulder Overburden]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Pongamia pinnata, Cassia siamea, Heteropogon contortus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OC-SITE-04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Opencast Mining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Manikpur Opencast Mine (Exhausted Void Plantation)</w:t>
              <w:br/>
              <w:t>(SECL Korba Area)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22.3312°N, 82.7215°E</w:t>
              <w:br/>
              <w:t>(292.0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Partially exhausted opencast mine; old reclamation (&gt;20 yr)</w:t>
              <w:br/>
              <w:t>[Weathered Overburden and Fly Ash Amendments]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Albizia procera, Dalbergia sissoo, Butea monosperma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OC-SITE-05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Opencast Mining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Saraipali Opencast Project (Northeast Concession)</w:t>
              <w:br/>
              <w:t>(SECL Korba Area)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22.385°N, 82.752°E</w:t>
              <w:br/>
              <w:t>(314.0 m)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Active opencast concession; raw overburden and active spoil banks</w:t>
              <w:br/>
              <w:t>[Raw Sandstone/Carbonaceous Shale Overburden]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Parthenium hysterophorus, Senna tora, Calotropis procera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REF-SITE-01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Unmined Reference Forest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Katghora Range (North Hasdeo Forest, Compt. 142)</w:t>
              <w:br/>
              <w:t>(CG State Forest Dept (Katghora Div))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22.505°N, 82.518°E</w:t>
              <w:br/>
              <w:t>(312.4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Strictly unmined climax forest (&gt;50 yr protected)</w:t>
              <w:br/>
              <w:t>[Lower Gondwana Barakar (In situ weathering)]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Shorea robusta, Terminalia tomentosa, Woodfordia fruticosa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REF-SITE-02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Unmined Reference Forest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Lemru Elephant Reserve (Core Forest Corridor)</w:t>
              <w:br/>
              <w:t>(CG State Forest Dept (Lemru Div))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22.582°N, 82.635°E</w:t>
              <w:br/>
              <w:t>(332.0 m)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Pristine elephant corridor core; zero industrial activity</w:t>
              <w:br/>
              <w:t>[Lower Gondwana Raniganj (Ferruginous sandstone)]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Shorea robusta, Madhuca longifolia, Buchanania lanzan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REF-SITE-03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Unmined Reference Forest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Pali Range (Chaiturgarh Hills Forest Beat)</w:t>
              <w:br/>
              <w:t>(CG State Forest Dept (Pali Div))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22.355°N, 82.385°E</w:t>
              <w:br/>
              <w:t>(328.5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Protected hill slope forest; unmined regional benchmark</w:t>
              <w:br/>
              <w:t>[Lower Gondwana Barakar (Sandstone plateau)]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Terminalia tomentosa, Diospyros melanoxylon, Nyctanthes arbor-tristis</w:t>
            </w:r>
          </w:p>
        </w:tc>
      </w:tr>
      <w:tr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REF-SITE-04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Unmined Reference Forest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Tiwarta Forest Beat (Katghora East, Compt. 88)</w:t>
              <w:br/>
              <w:t>(CG State Forest Dept (Katghora Div))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22.4618°N, 82.5431°E</w:t>
              <w:br/>
              <w:t>(305.6 m)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Reserved forest beat along Hasdeo tributary</w:t>
              <w:br/>
              <w:t>[Lower Gondwana Barakar (Siltstone/shale alluvium)]</w:t>
            </w:r>
          </w:p>
        </w:tc>
        <w:tc>
          <w:tcPr>
            <w:tcW w:type="dxa" w:w="1656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Shorea robusta, Terminalia elliptica, Woodfordia fruticosa</w:t>
            </w:r>
          </w:p>
        </w:tc>
      </w:tr>
      <w:tr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REF-SITE-05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Unmined Reference Forest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Kudmura Forest Range (Eastern Corridor, Compt. 204)</w:t>
              <w:br/>
              <w:t>(CG State Forest Dept (Kudmura Div))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22.428°N, 82.815°E</w:t>
              <w:br/>
              <w:t>(322.0 m)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Intact biodiversity corridor between Korba and Raigarh</w:t>
              <w:br/>
              <w:t>[Raniganj Formation (Sandstone/ferruginous shale)]</w:t>
            </w:r>
          </w:p>
        </w:tc>
        <w:tc>
          <w:tcPr>
            <w:tcW w:type="dxa" w:w="1656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Shorea robusta, Diospyros melanoxylon, Holarrhena pubescens</w:t>
            </w:r>
          </w:p>
        </w:tc>
      </w:tr>
    </w:tbl>
    <w:p>
      <w:r>
        <w:br w:type="page"/>
      </w:r>
    </w:p>
    <w:p>
      <w:pPr>
        <w:pStyle w:val="Heading1"/>
      </w:pPr>
      <w:r>
        <w:t>3. Linear Mixed-Effects &amp; Nested ANOVA Structure</w:t>
      </w:r>
    </w:p>
    <w:p>
      <w:r>
        <w:t>To evaluate the effects of mining disturbance while preventing pseudoreplication, models must be specified with Site as a random intercept: Y ~ Landscape_Class * Season + (1 | Site_ID). Table 22 displays the formal degrees of freedom breakdown and expected mean squares.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Source of Variation</w:t>
            </w:r>
          </w:p>
        </w:tc>
        <w:tc>
          <w:tcPr>
            <w:tcW w:type="dxa" w:w="1987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Model Term</w:t>
            </w:r>
          </w:p>
        </w:tc>
        <w:tc>
          <w:tcPr>
            <w:tcW w:type="dxa" w:w="1987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df</w:t>
            </w:r>
          </w:p>
        </w:tc>
        <w:tc>
          <w:tcPr>
            <w:tcW w:type="dxa" w:w="1987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Denominator Error Term</w:t>
            </w:r>
          </w:p>
        </w:tc>
        <w:tc>
          <w:tcPr>
            <w:tcW w:type="dxa" w:w="1987"/>
            <w:shd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Design Significance</w:t>
            </w:r>
          </w:p>
        </w:tc>
      </w:tr>
      <w:tr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Landscape Class (Fixed Effect: UG vs OC vs REF)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Landscape_Class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Site(Landscape_Class) [Independent Site Blocks] (df=12)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CRITICAL FIX: F-test uses site error (df=12), NOT quadrat residual (df=60), guaranteeing valid landscape inference without pseudoreplication.</w:t>
            </w:r>
          </w:p>
        </w:tc>
      </w:tr>
      <w:tr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Site within Landscape Class (Random Effect: Independent Mine/Forest Blocks)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 | Site_ID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Residual Subsample Error [Quadrats within Site] (df=60)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Quantifies spatial variation between separate colliery leases and forest ranges; tests whether mining effects exceed site-to-site variability.</w:t>
            </w:r>
          </w:p>
        </w:tc>
      </w:tr>
      <w:tr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Subsample Quadrats within Site (Residual Error / Replicate Subsamples)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Residual (Quadrat)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Within-site measurement error (df=60)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Captures micro-topographic and spatial heterogeneity within each 50-80 ha site block.</w:t>
            </w:r>
          </w:p>
        </w:tc>
      </w:tr>
      <w:tr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Season (Fixed Effect: Summer vs Monsoon vs Winter)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Season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Season x Site(Class) [Repeated Measures Error] (df=24)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Tests main effect of annual tropical wet-dry climatic cycle across all sites.</w:t>
            </w:r>
          </w:p>
        </w:tc>
      </w:tr>
      <w:tr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Landscape Class x Season (Interaction Effect: Phenological Pathways)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Landscape_Class x Season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Season x Site(Class) (df=24)</w:t>
            </w:r>
          </w:p>
        </w:tc>
        <w:tc>
          <w:tcPr>
            <w:tcW w:type="dxa" w:w="1987"/>
            <w:shd w:fill="FFFFFF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Directly tests whether opencast spoil exhibits transient weed flushes while underground and reference sites exhibit persistent woody stability.</w:t>
            </w:r>
          </w:p>
        </w:tc>
      </w:tr>
      <w:tr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Total Degrees of Freedom (Per Season Cross-Section)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Total (Single Season)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— (df=—)</w:t>
            </w:r>
          </w:p>
        </w:tc>
        <w:tc>
          <w:tcPr>
            <w:tcW w:type="dxa" w:w="1987"/>
            <w:shd w:fill="F2F5F8"/>
            <w:tcBorders>
              <w:top w:val="single" w:sz="2" w:space="0" w:color="D0D7DE"/>
              <w:bottom w:val="single" w:sz="2" w:space="0" w:color="D0D7DE"/>
            </w:tcBorders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Provides statistical power &gt; 0.88 to detect medium effect sizes (f = 0.35) at alpha = 0.05 across 15 independent sites.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