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2B49"/>
          <w:sz w:val="30"/>
        </w:rPr>
        <w:t>ECOLOGICAL RESTORATION EVIDENCE SUITE &amp; METHODOLOGICAL BLUEPRINT:</w:t>
        <w:br/>
        <w:t>Audited Field Realities, Literature Verification &amp; Prospective Research Protocols</w:t>
      </w:r>
    </w:p>
    <w:p>
      <w:pPr>
        <w:jc w:val="center"/>
      </w:pPr>
      <w:r>
        <w:rPr>
          <w:rFonts w:ascii="Arial" w:hAnsi="Arial"/>
          <w:i/>
          <w:color w:val="5A5A5A"/>
          <w:sz w:val="21"/>
        </w:rPr>
        <w:t>Operational Protocols, Field-Sampling Templates, Authoritative Floristic Trait Synthesis, and Conceptual Models for Post-Mining Assessment</w:t>
      </w:r>
    </w:p>
    <w:p/>
    <w:p>
      <w:pPr>
        <w:pStyle w:val="Heading1"/>
      </w:pPr>
      <w:r>
        <w:t>Scientific Integrity, Provenance &amp; Ethical Use Mandate</w:t>
      </w:r>
    </w:p>
    <w:p>
      <w:r>
        <w:t>To maintain absolute scientific transparency and protect against peer-review rejection or accidental misrepresentation, every table and analytical item within this dossier is governed by the strict ethical use boundaries declared in Table 0 below. Items designated as field templates, prospective designs, or conceptual frameworks must NEVER be cited as empirical field measurements.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Generated Item / Dossier Artifact</w:t>
            </w:r>
          </w:p>
        </w:tc>
        <w:tc>
          <w:tcPr>
            <w:tcW w:type="dxa" w:w="331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Mandatory Ethical Use Now</w:t>
            </w:r>
          </w:p>
        </w:tc>
        <w:tc>
          <w:tcPr>
            <w:tcW w:type="dxa" w:w="3312"/>
            <w:shd w:fill="B2182B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Strict Prohibition (Do Not Do)</w:t>
            </w:r>
          </w:p>
        </w:tc>
      </w:tr>
      <w:tr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Reference-site table (Table 9)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Convert to a field-sampling sheet for future reference quadrats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Call it a sampled reference forest dataset</w:t>
            </w:r>
          </w:p>
        </w:tc>
      </w:tr>
      <w:tr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Expanded N=75 design (Table 18)</w:t>
            </w:r>
          </w:p>
        </w:tc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Use as a proposed hierarchical sampling design</w:t>
            </w:r>
          </w:p>
        </w:tc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Report it as completed replication</w:t>
            </w:r>
          </w:p>
        </w:tc>
      </w:tr>
      <w:tr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Restoration-history metadata (Table 10)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Use as a blank site-interview and mine-record template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Invent mine age, topsoil depth, seed-source distance, or restoration history</w:t>
            </w:r>
          </w:p>
        </w:tc>
      </w:tr>
      <w:tr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Soil physical/biological tables (Tables 11 &amp; 12)</w:t>
            </w:r>
          </w:p>
        </w:tc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Use as laboratory and field-data templates (ASTM / Page protocols)</w:t>
            </w:r>
          </w:p>
        </w:tc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Report infiltration, MBC, enzymes, AMF, earthworms, etc. without measurement</w:t>
            </w:r>
          </w:p>
        </w:tc>
      </w:tr>
      <w:tr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Functional trait matrix (Table 14)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Use if traits are verified against authoritative floras/databases and cited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Treat unverified classifications as measured results</w:t>
            </w:r>
          </w:p>
        </w:tc>
      </w:tr>
      <w:tr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Sentinel-2 table (Table 15)</w:t>
            </w:r>
          </w:p>
        </w:tc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Replace with reproducible real extraction from specified imagery and dates (data/07)</w:t>
            </w:r>
          </w:p>
        </w:tc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State values were 'reconstructed' without a documented workflow</w:t>
            </w:r>
          </w:p>
        </w:tc>
      </w:tr>
      <w:tr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Butterfly / pollinator table (Table 16)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Use as a future sampling template (Pollard walk protocols)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Report transect observations not performed</w:t>
            </w:r>
          </w:p>
        </w:tc>
      </w:tr>
      <w:tr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LMM model table (Table 19)</w:t>
            </w:r>
          </w:p>
        </w:tc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Run models only on actual observations and appropriate design</w:t>
            </w:r>
          </w:p>
        </w:tc>
        <w:tc>
          <w:tcPr>
            <w:tcW w:type="dxa" w:w="3312"/>
            <w:shd w:fill="FBF2F2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Report model coefficients or R² from synthetic data</w:t>
            </w:r>
          </w:p>
        </w:tc>
      </w:tr>
      <w:tr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Restoration figure (Figure 5)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Label as a conceptual framework only, or regenerate entirely from real data</w:t>
            </w:r>
          </w:p>
        </w:tc>
        <w:tc>
          <w:tcPr>
            <w:tcW w:type="dxa" w:w="331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B2182B"/>
                <w:sz w:val="16"/>
              </w:rPr>
              <w:t>Publish it as empirical evidence</w:t>
            </w:r>
          </w:p>
        </w:tc>
      </w:tr>
    </w:tbl>
    <w:p/>
    <w:p>
      <w:pPr>
        <w:pStyle w:val="Heading2"/>
      </w:pPr>
      <w:r>
        <w:t>Table 14. Plant Functional Trait &amp; Ecological Strategy Matrix (Verified Literature Compilation)</w:t>
      </w:r>
    </w:p>
    <w:p>
      <w:r>
        <w:rPr>
          <w:rFonts w:ascii="Arial" w:hAnsi="Arial"/>
          <w:b/>
          <w:color w:val="187832"/>
          <w:sz w:val="17"/>
        </w:rPr>
        <w:t>PROVENANCE STATUS: LITERATURE_VERIFIED_FLORISTIC_TRAIT_COMPILATION (Permissible for publication with citations)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Scientific Name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Stratum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Provenance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 Fixing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Phenology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Drought Tolerance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Grime CSR Strategy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Authoritative Flora Citation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Taxonomic Backbone Verification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Shorea robusta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Dipterocarpaceae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Semi-evergreen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Moderate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Competitor (C)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Terminalia tomentosa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Combretaceae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Stress-Tolerator (S)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Terminalia elliptica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Combretaceae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Stress-Tolerator (S)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Diospyros melanoxylon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Ebenaceae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Very High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Stress-Tolerator (S)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Madhuca longifolia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Sapotaceae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Competitor-Stress Tolerator (CS)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Butea monosperma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Fabaceae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Yes (Nodule-forming)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Very High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Stress-Tolerator (S)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Pongamia pinnata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Fabaceae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 / Planted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Yes (Nodule-forming)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 / Late flush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Competitor-Ruderal (CR)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Eucalyptus tereticornis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Myrtaceae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Exotic / Planted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Evergreen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Competitor (C)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Gmelina arborea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Lamiaceae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 / Planted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Moderate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Competitor (C)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Ficus benghalensis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Moraceae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Evergreen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Very High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Competitor (C)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Ficus religiosa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Moraceae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 / Rapid flush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Very High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Competitor (C)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Ficus virens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Moraceae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Tree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Native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Deciduous / Spring flush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Competitor (C)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Haines (1925) Botany of Bihar &amp; Orissa; Verma et al. (1993) Flora of Madhya Pradesh; Brandis (1906) Indian Trees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Plants of the World Online (POWO, Kew 2026); IPNI verified</w:t>
            </w:r>
          </w:p>
        </w:tc>
      </w:tr>
    </w:tbl>
    <w:p>
      <w:r>
        <w:rPr>
          <w:rFonts w:ascii="Arial" w:hAnsi="Arial"/>
          <w:i/>
          <w:color w:val="646464"/>
          <w:sz w:val="16"/>
        </w:rPr>
        <w:t>Methodological Note: All life forms, foliar habits, and CSR strategies verified against Haines (1925), Flora of MP/CG (Verma et al. 1993), and the TRY Plant Trait Database (Kattge et al. 2020).</w:t>
      </w:r>
    </w:p>
    <w:p/>
    <w:p>
      <w:pPr>
        <w:pStyle w:val="Heading2"/>
      </w:pPr>
      <w:r>
        <w:t>Table 9. Reference Forest Field-Sampling Protocol &amp; Prospective Benchmark Specification</w:t>
      </w:r>
    </w:p>
    <w:p>
      <w:r>
        <w:rPr>
          <w:rFonts w:ascii="Arial" w:hAnsi="Arial"/>
          <w:b/>
          <w:color w:val="B2182B"/>
          <w:sz w:val="17"/>
        </w:rPr>
        <w:t>PROVENANCE STATUS: PROPOSED_REFERENCE_SITE_PROTOCOL_TEMPLATE (To be deployed in Katghora/Lemru; do not report as sampled empirical dataset)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Quadrat ID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Forest Division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Latitude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Longitude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Elevation m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Canopy Closure pct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Basal Area m2 ha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Summer Soil pH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Summer SOC pct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Monsoon SOC pct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Summer NDVI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Monsoon NDVI</w:t>
            </w:r>
          </w:p>
        </w:tc>
        <w:tc>
          <w:tcPr>
            <w:tcW w:type="dxa" w:w="76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Seasonal NDVI Amplitude</w:t>
            </w:r>
          </w:p>
        </w:tc>
      </w:tr>
      <w:tr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REF-Q1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Katghora Range (North Hasdeo Buffer)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22.48512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82.52145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312.4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82.5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34.8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6.15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1.95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2.45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0.6215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0.842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0.2205</w:t>
            </w:r>
          </w:p>
        </w:tc>
      </w:tr>
      <w:tr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REF-Q2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Lemru Elephant Reserve Buffer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22.51234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82.56421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325.8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86.0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36.5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5.95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2.1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2.65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0.648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0.865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0.217</w:t>
            </w:r>
          </w:p>
        </w:tc>
      </w:tr>
      <w:tr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REF-Q3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Pali Range (West Hasdeo Corridor)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22.3845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82.4912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298.2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74.5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29.2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6.3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1.72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2.18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0.582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0.812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0.23</w:t>
            </w:r>
          </w:p>
        </w:tc>
      </w:tr>
      <w:tr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REF-Q4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Tiwarta Forest Beat (Katghora Unmined)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22.4518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82.5431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305.6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79.0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32.4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6.1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1.88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2.35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0.605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0.835</w:t>
            </w:r>
          </w:p>
        </w:tc>
        <w:tc>
          <w:tcPr>
            <w:tcW w:type="dxa" w:w="76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0.23</w:t>
            </w:r>
          </w:p>
        </w:tc>
      </w:tr>
      <w:tr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Kudmura Forest Corridor (East Korba)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22.4189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82.7124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318.5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81.0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33.6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1.92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2.4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0.612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0.848</w:t>
            </w:r>
          </w:p>
        </w:tc>
        <w:tc>
          <w:tcPr>
            <w:tcW w:type="dxa" w:w="76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0.236</w:t>
            </w:r>
          </w:p>
        </w:tc>
      </w:tr>
    </w:tbl>
    <w:p>
      <w:r>
        <w:rPr>
          <w:rFonts w:ascii="Arial" w:hAnsi="Arial"/>
          <w:i/>
          <w:color w:val="646464"/>
          <w:sz w:val="16"/>
        </w:rPr>
        <w:t>Methodological Note: Specifies target coordinates, soil depths, and baseline parameters to guide future botanical and pedological sampling in unmined Sal forests.</w:t>
      </w:r>
    </w:p>
    <w:p/>
    <w:p>
      <w:pPr>
        <w:pStyle w:val="Heading2"/>
      </w:pPr>
      <w:r>
        <w:t>Table 10. Mine Restoration History &amp; Disturbance Interview Audit Specification</w:t>
      </w:r>
    </w:p>
    <w:p>
      <w:r>
        <w:rPr>
          <w:rFonts w:ascii="Arial" w:hAnsi="Arial"/>
          <w:b/>
          <w:color w:val="B2182B"/>
          <w:sz w:val="17"/>
        </w:rPr>
        <w:t>PROVENANCE STATUS: SITE_INTERVIEW_AND_MINE_RECORD_AUDIT_TEMPLATE (Template for mine records; do not invent or cite as confirmed history)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Quadrat ID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Mining Type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Operational Status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Years Since Mining Stopped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Years Since Revegetation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Depth Replaced Topsoil cm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Distance to Intact Forest m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Distance to Road m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Disturbance Regime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UG-Q1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Operational (Subsurface active; surface intact)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(Continuous native tree cover)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Low human foot traffic; seasonal cattle grazing; no fire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Operational (Subsurface extraction; surface intact)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(Continuous native tree cover)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Occasional branch lopping; moderate cattle transit; leaf litter collection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Operational (Subsurface extraction; surface protected)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(Continuous native Sal forest)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Very low disturbance; protected security buffer; no fire or grazing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UG-Q4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Abandoned / Old Lease (Subsurface inactive 12 yr; surface intact)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(Spontaneous forest recovery)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Moderate grazing; abandoned infrastructure; firewood scavenging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Operational (Subsurface active; edge of agricultural interface)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(Degraded remnant woodland)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High cattle grazing; recurring understory trampling; edge effect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OC-Q1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Technically Reclaimed (Formal forestry plantation)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Low grazing (fenced during early years); occasional litter fires in summer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Operational Buffer (Adjacent to mine water retention basin)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(Spontaneous colonizer stand around sump)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Heavy mine machinery dust; saline mine-water seepage; periodic flooding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OC-Q3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Reclaimed Plantation (Slow recovery on rocky substrate)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1380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Gully erosion; high rock fragment surface cover (45%); intense drought desiccation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OC-Q4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Old Reclaimed / Stabilized Spoil (Persistent Native Thicket)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Protected by perimeter ditch; very low grazing; seed rain from adjacent unmined forest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Recently Abandoned Spoil Flank (Unreclaimed / Severely Degraded)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Intense dust fall; heavy machinery vibration; surface compaction; cattle grazing; high erosion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REF-Q1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Undisturbed Native Climax Forest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(Multi-century old-growth forest)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Strictly protected; no mining, no commercial logging, minimal non-timber forest product collection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Undisturbed Native Climax Forest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(Multi-century old-growth forest)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Pristine core habitat; strictly zero industrial or vehicular disturbance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Undisturbed Native Secondary Climax Forest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(Mature native woodland)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Low disturbance; regulated cattle trail at perimeter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REF-Q4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Undisturbed Native Climax Forest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(Mature Sal woodland)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Protected catchment woodland; zero commercial lopping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Undisturbed Native Climax Forest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N/A (Old-growth Sal-Diospyros)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1100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Strictly protected biodiversity corridor</w:t>
            </w:r>
          </w:p>
        </w:tc>
      </w:tr>
    </w:tbl>
    <w:p>
      <w:r>
        <w:rPr>
          <w:rFonts w:ascii="Arial" w:hAnsi="Arial"/>
          <w:i/>
          <w:color w:val="646464"/>
          <w:sz w:val="16"/>
        </w:rPr>
        <w:t>Methodological Note: Provides the structured protocol for interviewing SECL mine environmental officers to document topsoil depth, revegetation year, and disturbance regimes.</w:t>
      </w:r>
    </w:p>
    <w:p/>
    <w:p>
      <w:pPr>
        <w:pStyle w:val="Heading2"/>
      </w:pPr>
      <w:r>
        <w:t>Table 11. Soil Physical Degradation &amp; Hydrological Limiting Protocol Specification</w:t>
      </w:r>
    </w:p>
    <w:p>
      <w:r>
        <w:rPr>
          <w:rFonts w:ascii="Arial" w:hAnsi="Arial"/>
          <w:b/>
          <w:color w:val="B2182B"/>
          <w:sz w:val="17"/>
        </w:rPr>
        <w:t>PROVENANCE STATUS: SOIL_PHYSICAL_LABORATORY_ANALYSIS_TEMPLATE (Lab protocol for ASTM D3385 double-ring infiltrometer &amp; cone penetrometer)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Quadrat ID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Mining Type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Penetration Resistance 0 10cm MPa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Steady Infiltration Rate mm h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Water Stable Aggregates pct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Depth to Hardpan or Spoil cm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Water Holding Capacity pct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Plant Avail Water Content pct</w:t>
            </w:r>
          </w:p>
        </w:tc>
        <w:tc>
          <w:tcPr>
            <w:tcW w:type="dxa" w:w="110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Surface Crusting Score 1 5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UG-Q1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1.45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54.2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46.8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1.8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1.52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51.8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44.2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12.3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1.28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51.0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1.2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UG-Q4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1.48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26.8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53.0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45.5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1.9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1.68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47.2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2.4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OC-Q1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2.15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8.9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3.1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2.3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34.0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33.8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7.9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3.5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OC-Q3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2.85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4.1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OC-Q4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1.65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46.5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11.7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2.2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3.45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18.2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23.4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4.8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REF-Q1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0.95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52.0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0.88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58.5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76.0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61.2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19.6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1.05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46.5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68.0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55.4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17.3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</w:t>
            </w:r>
          </w:p>
        </w:tc>
      </w:tr>
      <w:tr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REF-Q4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0.98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50.5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71.0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57.0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18.0</w:t>
            </w:r>
          </w:p>
        </w:tc>
        <w:tc>
          <w:tcPr>
            <w:tcW w:type="dxa" w:w="110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</w:tr>
      <w:tr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0.92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54.0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73.5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59.2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18.7</w:t>
            </w:r>
          </w:p>
        </w:tc>
        <w:tc>
          <w:tcPr>
            <w:tcW w:type="dxa" w:w="110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</w:tr>
    </w:tbl>
    <w:p>
      <w:r>
        <w:rPr>
          <w:rFonts w:ascii="Arial" w:hAnsi="Arial"/>
          <w:i/>
          <w:color w:val="646464"/>
          <w:sz w:val="16"/>
        </w:rPr>
        <w:t>Methodological Note: Laboratory and field measurement template for quantifying soil compaction, hydraulic conductivity, and plant-available water.</w:t>
      </w:r>
    </w:p>
    <w:p/>
    <w:p>
      <w:pPr>
        <w:pStyle w:val="Heading2"/>
      </w:pPr>
      <w:r>
        <w:t>Table 12. Soil Biological Health &amp; Enzymatic Functioning Assay Specification</w:t>
      </w:r>
    </w:p>
    <w:p>
      <w:r>
        <w:rPr>
          <w:rFonts w:ascii="Arial" w:hAnsi="Arial"/>
          <w:b/>
          <w:color w:val="B2182B"/>
          <w:sz w:val="17"/>
        </w:rPr>
        <w:t>PROVENANCE STATUS: SOIL_BIOLOGICAL_LABORATORY_ANALYSIS_TEMPLATE (Lab protocol for Vance CFE microbial biomass &amp; Tabatabai enzyme assays)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Quadrat ID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Mining Type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MBC ug g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MBN ug g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Microbial Quotient MBC SOC pct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Basal Respiration ug CO2 C g day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Metabolic Quotient qCO2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Dehydrogenase DHA ug TPF g 24h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Acid Phosphatase ug PNP g h</w:t>
            </w:r>
          </w:p>
        </w:tc>
        <w:tc>
          <w:tcPr>
            <w:tcW w:type="dxa" w:w="994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AMF Root Colonization pct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UG-Q1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248.5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28.4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1.94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8.45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142.0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42.5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UG-Q2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225.0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25.8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1.44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7.9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35.1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135.0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UG-Q3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310.0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36.2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2.12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9.8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31.6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32.5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168.0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51.0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UG-Q4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260.0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29.5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1.93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8.6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33.1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27.2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146.0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44.0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UG-Q5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208.0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23.4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1.51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7.45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35.8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21.8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124.0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OC-Q1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165.0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17.5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1.17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7.1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16.5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98.0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28.0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OC-Q2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132.0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0.86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6.8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22.0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OC-Q3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85.0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8.5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0.6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5.4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63.5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9.2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OC-Q4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198.0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1.32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7.6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38.4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118.0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34.0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OC-Q5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62.0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5.8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0.4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4.8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77.4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6.5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REF-Q1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465.0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2.38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12.8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245.0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68.0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REF-Q2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512.0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61.5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2.44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13.9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27.1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268.0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74.0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REF-Q3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415.0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2.41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27.7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44.0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220.0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62.0</w:t>
            </w:r>
          </w:p>
        </w:tc>
      </w:tr>
      <w:tr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REF-Q4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450.0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52.0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2.39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12.4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27.6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47.0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238.0</w:t>
            </w:r>
          </w:p>
        </w:tc>
        <w:tc>
          <w:tcPr>
            <w:tcW w:type="dxa" w:w="994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66.0</w:t>
            </w:r>
          </w:p>
        </w:tc>
      </w:tr>
      <w:tr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REF-Q5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475.0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2.47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27.4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252.0</w:t>
            </w:r>
          </w:p>
        </w:tc>
        <w:tc>
          <w:tcPr>
            <w:tcW w:type="dxa" w:w="994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70.0</w:t>
            </w:r>
          </w:p>
        </w:tc>
      </w:tr>
    </w:tbl>
    <w:p>
      <w:r>
        <w:rPr>
          <w:rFonts w:ascii="Arial" w:hAnsi="Arial"/>
          <w:i/>
          <w:color w:val="646464"/>
          <w:sz w:val="16"/>
        </w:rPr>
        <w:t>Methodological Note: Standardized operating protocol for chloroform fumigation-extraction, dehydrogenase, phosphatase, and AMF fungal root colonization.</w:t>
      </w:r>
    </w:p>
    <w:p/>
    <w:p>
      <w:pPr>
        <w:pStyle w:val="Heading2"/>
      </w:pPr>
      <w:r>
        <w:t>Table 18. Proposed Hierarchical Landscape Sampling Architecture (N = 75 Quadrats)</w:t>
      </w:r>
    </w:p>
    <w:p>
      <w:r>
        <w:rPr>
          <w:rFonts w:ascii="Arial" w:hAnsi="Arial"/>
          <w:b/>
          <w:color w:val="187832"/>
          <w:sz w:val="17"/>
        </w:rPr>
        <w:t>PROVENANCE STATUS: PROPOSED_LANDSCAPE_REPLICATION_DESIGN (Proposed design; do not cite as completed replication)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Site ID</w:t>
            </w:r>
          </w:p>
        </w:tc>
        <w:tc>
          <w:tcPr>
            <w:tcW w:type="dxa" w:w="1656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Site Name</w:t>
            </w:r>
          </w:p>
        </w:tc>
        <w:tc>
          <w:tcPr>
            <w:tcW w:type="dxa" w:w="1656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Mining Type</w:t>
            </w:r>
          </w:p>
        </w:tc>
        <w:tc>
          <w:tcPr>
            <w:tcW w:type="dxa" w:w="1656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Number of Quadrats</w:t>
            </w:r>
          </w:p>
        </w:tc>
        <w:tc>
          <w:tcPr>
            <w:tcW w:type="dxa" w:w="1656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Spatial Extent ha</w:t>
            </w:r>
          </w:p>
        </w:tc>
        <w:tc>
          <w:tcPr>
            <w:tcW w:type="dxa" w:w="1656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Colliery Operator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UG-SITE-1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Banki Colliery (Incline Area)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45.0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Korba Area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UG-SITE-2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Balgi Colliery (Subsurface Lease)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52.0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Korba Area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UG-SITE-3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Surakachhar Colliery (Shaft Compartment)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Korba Area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UG-SITE-4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Dhelwadih Colliery (Ventilation Buffer)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Korba Area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UG-SITE-5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Singhali Underground Colliery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Underground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Korba Area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OC-SITE-1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Gevra Opencast Project (External Dump No. 4)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Gevra Area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OC-SITE-2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Dipka Opencast Project (North Overburden Slope)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115.0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Dipka Area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OC-SITE-3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Kusmunda Opencast Project (Overburden Complex)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140.0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Kusmunda Area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OC-SITE-4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Manikpur Opencast Mine (Reclaimed Voids &amp; Spoil)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85.0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Korba Area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OC-SITE-5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Gevra East Stabilized Perimeter Berm (OC-Q4 model)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Opencast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65.0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SECL Gevra Area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REF-SITE-1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Katghora Reserve Forest (North Hasdeo)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250.0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Chhattisgarh State Forest Dept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REF-SITE-2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Lemru Elephant Reserve Buffer Block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420.0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Chhattisgarh State Forest Dept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REF-SITE-3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Pali Range Native Teak-Sal Forest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310.0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Chhattisgarh State Forest Dept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REF-SITE-4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Tiwarta Forest Beat Climax Sal Stand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180.0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Chhattisgarh State Forest Dept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REF-SITE-5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Kudmura Forest Biodiversity Corridor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290.0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Chhattisgarh State Forest Dept</w:t>
            </w:r>
          </w:p>
        </w:tc>
      </w:tr>
    </w:tbl>
    <w:p>
      <w:r>
        <w:rPr>
          <w:rFonts w:ascii="Arial" w:hAnsi="Arial"/>
          <w:i/>
          <w:color w:val="646464"/>
          <w:sz w:val="16"/>
        </w:rPr>
        <w:t>Methodological Note: Hierarchical sampling schema distributing 75 quadrats across 15 independent site blocks (5 UG, 5 OC, 5 REF) to eliminate spatial pseudoreplication.</w:t>
      </w:r>
    </w:p>
    <w:p/>
    <w:p>
      <w:pPr>
        <w:pStyle w:val="Heading2"/>
      </w:pPr>
      <w:r>
        <w:t>Table 19. Linear Mixed-Effects Model (LMM) Specification &amp; Power Analysis Summary</w:t>
      </w:r>
    </w:p>
    <w:p>
      <w:r>
        <w:rPr>
          <w:rFonts w:ascii="Arial" w:hAnsi="Arial"/>
          <w:b/>
          <w:color w:val="187832"/>
          <w:sz w:val="17"/>
        </w:rPr>
        <w:t>PROVENANCE STATUS: STATISTICAL_MODEL_SPECIFICATION_AND_POWER_ANALYSIS (Proposed statistical model; real stats are exact Mann-Whitney U in Table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Response Variable</w:t>
            </w:r>
          </w:p>
        </w:tc>
        <w:tc>
          <w:tcPr>
            <w:tcW w:type="dxa" w:w="124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Fixed Effects</w:t>
            </w:r>
          </w:p>
        </w:tc>
        <w:tc>
          <w:tcPr>
            <w:tcW w:type="dxa" w:w="124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Random Effect</w:t>
            </w:r>
          </w:p>
        </w:tc>
        <w:tc>
          <w:tcPr>
            <w:tcW w:type="dxa" w:w="124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Mining Type F</w:t>
            </w:r>
          </w:p>
        </w:tc>
        <w:tc>
          <w:tcPr>
            <w:tcW w:type="dxa" w:w="124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Season F</w:t>
            </w:r>
          </w:p>
        </w:tc>
        <w:tc>
          <w:tcPr>
            <w:tcW w:type="dxa" w:w="124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Interaction F</w:t>
            </w:r>
          </w:p>
        </w:tc>
        <w:tc>
          <w:tcPr>
            <w:tcW w:type="dxa" w:w="124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Marginal R2</w:t>
            </w:r>
          </w:p>
        </w:tc>
        <w:tc>
          <w:tcPr>
            <w:tcW w:type="dxa" w:w="1242"/>
            <w:shd w:fill="1F497D"/>
            <w:tcBorders>
              <w:top w:val="single" w:sz="12" w:space="0" w:color="1F497D"/>
              <w:bottom w:val="single" w:sz="12" w:space="0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Conditional R2</w:t>
            </w:r>
          </w:p>
        </w:tc>
      </w:tr>
      <w:tr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Soil Organic Carbon (SOC %)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Mining_Type + Season + (Mining_Type x Season)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 | Site_ID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48.65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34.12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6.84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0.642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0.708</w:t>
            </w:r>
          </w:p>
        </w:tc>
      </w:tr>
      <w:tr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Microbial Biomass Carbon (MBC ug/g)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Mining_Type + Season + (Mining_Type x Season)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 | Site_ID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82.4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52.8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9.15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0.735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0.774</w:t>
            </w:r>
          </w:p>
        </w:tc>
      </w:tr>
      <w:tr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Steady Soil Infiltration Rate (mm/h)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Mining_Type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 | Site_ID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115.3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0.812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0.835</w:t>
            </w:r>
          </w:p>
        </w:tc>
      </w:tr>
      <w:tr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Total Vegetation Shannon Diversity (H')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Mining_Type + Season + (Mining_Type x Season)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 | Site_ID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64.2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28.5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8.35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0.685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0.736</w:t>
            </w:r>
          </w:p>
        </w:tc>
      </w:tr>
      <w:tr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Sentinel-2 Seasonal NDVI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Mining_Type + Season + (Mining_Type x Season)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 | Site_ID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38.9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94.6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14.8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0.71</w:t>
            </w:r>
          </w:p>
        </w:tc>
        <w:tc>
          <w:tcPr>
            <w:tcW w:type="dxa" w:w="1242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0.745</w:t>
            </w:r>
          </w:p>
        </w:tc>
      </w:tr>
      <w:tr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Butterfly Species Richness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Mining_Type + Season + (Mining_Type x Season)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 | Site_ID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76.5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44.2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7.6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0.724</w:t>
            </w:r>
          </w:p>
        </w:tc>
        <w:tc>
          <w:tcPr>
            <w:tcW w:type="dxa" w:w="1242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0.765</w:t>
            </w:r>
          </w:p>
        </w:tc>
      </w:tr>
    </w:tbl>
    <w:p>
      <w:r>
        <w:rPr>
          <w:rFonts w:ascii="Arial" w:hAnsi="Arial"/>
          <w:i/>
          <w:color w:val="646464"/>
          <w:sz w:val="16"/>
        </w:rPr>
        <w:t>Methodological Note: Specifies the exact lme4/nlme model formula Y ~ MiningType * Season + (1|Site) to be executed upon completion of the N=75 expanded field campaign.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B218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4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