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1BC" w:rsidRPr="003B685F" w:rsidRDefault="00AB01BC" w:rsidP="00AB01BC">
      <w:pPr>
        <w:spacing w:line="360" w:lineRule="auto"/>
        <w:jc w:val="both"/>
        <w:rPr>
          <w:rFonts w:ascii="Times New Roman" w:hAnsi="Times New Roman" w:cs="Times New Roman"/>
        </w:rPr>
      </w:pPr>
      <w:r w:rsidRPr="003B685F">
        <w:rPr>
          <w:rFonts w:ascii="Times New Roman" w:hAnsi="Times New Roman" w:cs="Times New Roman"/>
        </w:rPr>
        <w:t xml:space="preserve">The change in overall quality attribute with respect to time is determined by the Kinetic rate law model </w:t>
      </w:r>
      <w:r w:rsidRPr="003B685F">
        <w:rPr>
          <w:rFonts w:ascii="Times New Roman" w:hAnsi="Times New Roman" w:cs="Times New Roman"/>
          <w:color w:val="00B0F0"/>
        </w:rPr>
        <w:fldChar w:fldCharType="begin" w:fldLock="1"/>
      </w:r>
      <w:r>
        <w:rPr>
          <w:rFonts w:ascii="Times New Roman" w:hAnsi="Times New Roman" w:cs="Times New Roman"/>
          <w:color w:val="00B0F0"/>
        </w:rPr>
        <w:instrText>ADDIN CSL_CITATION {"citationItems":[{"id":"ITEM-1","itemData":{"DOI":"10.1016/j.resconrec.2019.06.002","ISSN":"18790658","abstract":"Refrigerated transport and storage of mango fruit are essential to maintain quality, reduce food waste and the associated embodied energy losses. Refrigeration is also key to enable successful transcontinental export to distant markets. To minimize the environmental impact of the cold chain and to optimize logistics, a better knowledge of the fruit quality evolution within individual shipments would be extremely valueable. For this purpose, a digital fruit twin is developed, based on mechanistic modeling. This digital twin simulates the thermal behavior of mango fruit throughout the cold chain, based on the measured environmental temperature conditions, namely the air temperature in the vicinity of the fruit. At the same time, the evolution of associated quality attributes, due to enzymatically-driven, temperature-dependent biochemical degradation reactions, is quantified. Also, a biophysical counterpart of real mango fruit – an innovative fruit simulator sensing device – was developed and used for model validation of fruit pulp temperatures. We identified – in-silico – the impact of the unique delivery air temperature history and cold chain length on fruit quality evolution for actual maritime vs. airfreight transport pathways. Digital twins were found to provide complementary insights in the thermophysical behavior of fruit, particularly in supply chains of very perishable species, and for storage at low airflow rates. Such mechanistic modeling enabled to understand, record, and predict where temperature-dependent fruit quality loss occurs in each supply chain. In that way, digital twins can help to improve refrigeration processes and logistics to reduce food losses, thereby making the refrigerated supply chain greener.","author":[{"dropping-particle":"","family":"Defraeye","given":"T.","non-dropping-particle":"","parse-names":false,"suffix":""},{"dropping-particle":"","family":"Tagliavini","given":"Giorgia","non-dropping-particle":"","parse-names":false,"suffix":""},{"dropping-particle":"","family":"Wu","given":"Wentao","non-dropping-particle":"","parse-names":false,"suffix":""},{"dropping-particle":"","family":"Prawiranto","given":"K.","non-dropping-particle":"","parse-names":false,"suffix":""},{"dropping-particle":"","family":"Schudel","given":"Seraina","non-dropping-particle":"","parse-names":false,"suffix":""},{"dropping-particle":"","family":"Assefa Kerisima","given":"Mekdim","non-dropping-particle":"","parse-names":false,"suffix":""},{"dropping-particle":"","family":"Verboven","given":"Pieter","non-dropping-particle":"","parse-names":false,"suffix":""},{"dropping-particle":"","family":"Bühlmann","given":"Andreas","non-dropping-particle":"","parse-names":false,"suffix":""}],"container-title":"Resources, Conservation and Recycling","id":"ITEM-1","issued":{"date-parts":[["2019"]]},"title":"Digital twins probe into food cooling and biochemical quality changes for reducing losses in refrigerated supply chains","type":"article-journal"},"uris":["http://www.mendeley.com/documents/?uuid=37b4a0cc-b7c0-48de-8924-8d839c2a59dc"]},{"id":"ITEM-2","itemData":{"DOI":"10.1016/j.compag.2017.11.034","ISSN":"01681699","abstract":"Fruit quality loss is dependent on the temperature control throughout the postharvest cold chain. Previous research mainly focused on optimizing the cooling performance of single unit operations. However, assessing fruit temperature history throughout the entire cold chain is crucial to determine the end quality. This study proposes a virtual cold chain (VCC) method to predict the temperature history and quality loss of packaged fresh fruit, down to each individual fruit, throughout the entire cold chain. The VCC method is based on computational fluid dynamics and kinetic quality modelling. Results show that the difference in quality loss among individual fruit in a carton could reach 11% for a specific cold chain. The maximum difference in the remaining quality at the end of the cold chain between different cold chain scenarios is 23%. The VCC method has a potential to track temperature history and to estimate quality loss of individual fruit in the cargo throughout a cold chain.","author":[{"dropping-particle":"","family":"Wu","given":"Wentao","non-dropping-particle":"","parse-names":false,"suffix":""},{"dropping-particle":"","family":"Cronjé","given":"Paul","non-dropping-particle":"","parse-names":false,"suffix":""},{"dropping-particle":"","family":"Nicolai","given":"Bart","non-dropping-particle":"","parse-names":false,"suffix":""},{"dropping-particle":"","family":"Verboven","given":"Pieter","non-dropping-particle":"","parse-names":false,"suffix":""},{"dropping-particle":"","family":"Linus Opara","given":"Umezuruike","non-dropping-particle":"","parse-names":false,"suffix":""},{"dropping-particle":"","family":"Defraeye","given":"Thijs","non-dropping-particle":"","parse-names":false,"suffix":""}],"container-title":"Computers and Electronics in Agriculture","id":"ITEM-2","issued":{"date-parts":[["2018"]]},"title":"Virtual cold chain method to model the postharvest temperature history and quality evolution of fresh fruit – A case study for citrus fruit packed in a single carton","type":"article-journal"},"uris":["http://www.mendeley.com/documents/?uuid=563513fe-567d-4396-9751-4638e60e8c84"]},{"id":"ITEM-3","itemData":{"DOI":"10.1111/j.1541-4337.2007.00036.x","ISSN":"15414337","abstract":"This article discusses the possibilities to study relevant quality aspects of food, such as color, nutrient content, and safety, in a quantitative way via mathematical models. These quality parameters are governed by chemical, biochemical, microbial, and physical changes. It is argued that the modeling of such quality aspects is in fact kinetic modeling. Therefore, attention is paid to chemical kinetics, and its possibilities and limitations are discussed when applied to changes occurring in foods. The discussion is illustrated with examples from the literature. A major difficulty is that principles from chemical kinetics are strictly speaking only valid for simple elementary reactions, and foods are all but simple. Interactions in the food matrix and variability are 2 complicating factors. It is discussed how this difficulty can be tackled, and research priorities are suggested to come to better models in food science, and thereby to a better control of food quality. © 2008 Institute of Food Technologists.","author":[{"dropping-particle":"","family":"Boekel","given":"Martinus A.J.S.","non-dropping-particle":"Van","parse-names":false,"suffix":""}],"container-title":"Comprehensive Reviews in Food Science and Food Safety","id":"ITEM-3","issued":{"date-parts":[["2008"]]},"title":"Kinetic modeling of food quality: A critical review","type":"paper-conference"},"uris":["http://www.mendeley.com/documents/?uuid=35834797-e42c-4ca0-93bb-203bed0a0695","http://www.mendeley.com/documents/?uuid=896f768b-eaaf-4b0c-b063-d132beec0c9c"]},{"id":"ITEM-4","itemData":{"DOI":"10.1016/j.applthermaleng.2017.11.049","ISSN":"13594311","abstract":"Temperature control of fresh produce by forced convective cooling through ventilated packaging is essential to preserve quality in postharvest supply chains. The challenge is to achieve uniform cooling of fruit in the entire cargo. Most numerical research using computational fluid dynamics (CFD) focused on ventilated packaging with relatively small ensembles of fruit. This study aims to gain more insight into the thermal heterogeneity and the associated differences in quality evolution for large ensembles of packed fruit, by investigating the thermal behavior of an entire pallet of fruit throughout the entire cold chain. To this end, the virtual cold chain method is applied, which virtually tracks the temperature–time history of individual fruit using CFD and accordingly predicts fruit quality evolution using kinetic rate law models. The pallet includes 80 cartons, in which 5120 fruit are explicitly modelled as discrete spheres. Three cold chain scenarios are evaluated. For all the three unit operations in a cold chain (precooling, transport and storage), significant differences in the fruit cooling time are found along the airflow direction, where the blockage of local vent holes is found to increase the thermal heterogeneity. Cooling heterogeneity is the smallest for precooling and the largest for cold storage. Fruit in upstream cartons also show a higher cooling heterogeneity than those in downstream cartons. The difference in quality evolution between individual fruit is found to be very limited if proper precooling is applied in the cold chain. In the cold chain without precooling, about 23% more quality loss is found than in that with precooling. Ambient loading is promising to remove field heat during refrigerated transport.","author":[{"dropping-particle":"","family":"Wu","given":"Wentao","non-dropping-particle":"","parse-names":false,"suffix":""},{"dropping-particle":"","family":"Defraeye","given":"Thijs","non-dropping-particle":"","parse-names":false,"suffix":""}],"container-title":"Applied Thermal Engineering","id":"ITEM-4","issued":{"date-parts":[["2018"]]},"title":"Identifying heterogeneities in cooling and quality evolution for a pallet of packed fresh fruit by using virtual cold chains","type":"article-journal"},"uris":["http://www.mendeley.com/documents/?uuid=d3757dca-b27d-4784-adf5-7478a39bf1a8","http://www.mendeley.com/documents/?uuid=2450f2dc-7e72-4fbf-9d24-c12836239f58"]}],"mendeley":{"formattedCitation":"(T. Defraeye et al., 2019; Van Boekel, 2008; Wu, Cronjé, et al., 2018; Wu &amp; Defraeye, 2018)","plainTextFormattedCitation":"(T. Defraeye et al., 2019; Van Boekel, 2008; Wu, Cronjé, et al., 2018; Wu &amp; Defraeye, 2018)","previouslyFormattedCitation":"(T. Defraeye et al., 2019; Van Boekel, 2008; Wu, Cronjé, et al., 2018; Wu &amp; Defraeye, 2018)"},"properties":{"noteIndex":0},"schema":"https://github.com/citation-style-language/schema/raw/master/csl-citation.json"}</w:instrText>
      </w:r>
      <w:r w:rsidRPr="003B685F">
        <w:rPr>
          <w:rFonts w:ascii="Times New Roman" w:hAnsi="Times New Roman" w:cs="Times New Roman"/>
          <w:color w:val="00B0F0"/>
        </w:rPr>
        <w:fldChar w:fldCharType="separate"/>
      </w:r>
      <w:r w:rsidRPr="00137E53">
        <w:rPr>
          <w:rFonts w:ascii="Times New Roman" w:hAnsi="Times New Roman" w:cs="Times New Roman"/>
          <w:noProof/>
          <w:color w:val="00B0F0"/>
        </w:rPr>
        <w:t>(T. Defraeye et al., 2019; Van Boekel, 2008; Wu, Cronjé, et al., 2018; Wu &amp; Defraeye, 2018)</w:t>
      </w:r>
      <w:r w:rsidRPr="003B685F">
        <w:rPr>
          <w:rFonts w:ascii="Times New Roman" w:hAnsi="Times New Roman" w:cs="Times New Roman"/>
          <w:color w:val="00B0F0"/>
        </w:rPr>
        <w:fldChar w:fldCharType="end"/>
      </w:r>
      <w:r w:rsidRPr="003B685F">
        <w:rPr>
          <w:rFonts w:ascii="Times New Roman" w:hAnsi="Times New Roman" w:cs="Times New Roman"/>
        </w:rPr>
        <w:t>. It is given by</w:t>
      </w:r>
    </w:p>
    <w:tbl>
      <w:tblPr>
        <w:tblStyle w:val="TableGrid"/>
        <w:tblW w:w="0" w:type="auto"/>
        <w:tblLook w:val="04A0" w:firstRow="1" w:lastRow="0" w:firstColumn="1" w:lastColumn="0" w:noHBand="0" w:noVBand="1"/>
      </w:tblPr>
      <w:tblGrid>
        <w:gridCol w:w="4523"/>
        <w:gridCol w:w="4503"/>
      </w:tblGrid>
      <w:tr w:rsidR="00AB01BC" w:rsidRPr="00651165" w:rsidTr="008D066C">
        <w:tc>
          <w:tcPr>
            <w:tcW w:w="4675" w:type="dxa"/>
            <w:tcBorders>
              <w:top w:val="nil"/>
              <w:left w:val="nil"/>
              <w:bottom w:val="nil"/>
              <w:right w:val="nil"/>
            </w:tcBorders>
          </w:tcPr>
          <w:p w:rsidR="00AB01BC" w:rsidRPr="003B685F" w:rsidRDefault="00AB01BC" w:rsidP="008D066C">
            <w:pPr>
              <w:spacing w:line="360" w:lineRule="auto"/>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675" w:type="dxa"/>
            <w:tcBorders>
              <w:top w:val="nil"/>
              <w:left w:val="nil"/>
              <w:bottom w:val="nil"/>
              <w:right w:val="nil"/>
            </w:tcBorders>
            <w:vAlign w:val="center"/>
          </w:tcPr>
          <w:p w:rsidR="00AB01BC" w:rsidRPr="00651165" w:rsidRDefault="00AB01BC" w:rsidP="008D066C">
            <w:pPr>
              <w:pStyle w:val="Caption"/>
              <w:keepNext/>
              <w:spacing w:line="360" w:lineRule="auto"/>
              <w:jc w:val="right"/>
              <w:rPr>
                <w:rFonts w:ascii="Times New Roman" w:hAnsi="Times New Roman" w:cs="Times New Roman"/>
                <w:b w:val="0"/>
                <w:bCs w:val="0"/>
              </w:rPr>
            </w:pPr>
            <w:r w:rsidRPr="00651165">
              <w:rPr>
                <w:rFonts w:ascii="Times New Roman" w:hAnsi="Times New Roman" w:cs="Times New Roman"/>
                <w:b w:val="0"/>
                <w:bCs w:val="0"/>
              </w:rPr>
              <w:t>8</w:t>
            </w:r>
          </w:p>
        </w:tc>
      </w:tr>
    </w:tbl>
    <w:p w:rsidR="00401FE9" w:rsidRDefault="00AB01BC">
      <w:pPr>
        <w:rPr>
          <w:rFonts w:ascii="Times New Roman" w:hAnsi="Times New Roman" w:cs="Times New Roman"/>
        </w:rPr>
      </w:pPr>
      <w:r w:rsidRPr="003B685F">
        <w:rPr>
          <w:rFonts w:ascii="Times New Roman" w:hAnsi="Times New Roman" w:cs="Times New Roman"/>
        </w:rPr>
        <w:t xml:space="preserve">where </w:t>
      </w:r>
      <m:oMath>
        <m:r>
          <w:rPr>
            <w:rFonts w:ascii="Cambria Math" w:hAnsi="Cambria Math"/>
          </w:rPr>
          <m:t>t</m:t>
        </m:r>
      </m:oMath>
      <w:r w:rsidRPr="003B685F">
        <w:rPr>
          <w:rFonts w:ascii="Times New Roman" w:hAnsi="Times New Roman" w:cs="Times New Roman"/>
        </w:rPr>
        <w:t xml:space="preserve"> is time [s], </w:t>
      </w:r>
      <m:oMath>
        <m:r>
          <w:rPr>
            <w:rFonts w:ascii="Cambria Math" w:hAnsi="Cambria Math"/>
          </w:rPr>
          <m:t>k</m:t>
        </m:r>
      </m:oMath>
      <w:r w:rsidRPr="003B685F">
        <w:rPr>
          <w:rFonts w:ascii="Times New Roman" w:hAnsi="Times New Roman" w:cs="Times New Roman"/>
        </w:rPr>
        <w:t xml:space="preserve"> is the rate constant [s</w:t>
      </w:r>
      <w:r w:rsidRPr="003B685F">
        <w:rPr>
          <w:rFonts w:ascii="Times New Roman" w:hAnsi="Times New Roman" w:cs="Times New Roman"/>
          <w:vertAlign w:val="superscript"/>
        </w:rPr>
        <w:t>-1</w:t>
      </w:r>
      <w:r w:rsidRPr="003B685F">
        <w:rPr>
          <w:rFonts w:ascii="Times New Roman" w:hAnsi="Times New Roman" w:cs="Times New Roman"/>
        </w:rPr>
        <w:t xml:space="preserve">], </w:t>
      </w:r>
      <m:oMath>
        <m:r>
          <w:rPr>
            <w:rFonts w:ascii="Cambria Math" w:hAnsi="Cambria Math"/>
          </w:rPr>
          <m:t>n</m:t>
        </m:r>
      </m:oMath>
      <w:r w:rsidRPr="003B685F">
        <w:rPr>
          <w:rFonts w:ascii="Times New Roman" w:hAnsi="Times New Roman" w:cs="Times New Roman"/>
        </w:rPr>
        <w:t xml:space="preserve"> is the order of reaction which determines change of </w:t>
      </w:r>
      <m:oMath>
        <m:r>
          <w:rPr>
            <w:rFonts w:ascii="Cambria Math" w:hAnsi="Cambria Math"/>
          </w:rPr>
          <m:t>A</m:t>
        </m:r>
      </m:oMath>
      <w:r w:rsidRPr="003B685F">
        <w:rPr>
          <w:rFonts w:ascii="Times New Roman" w:hAnsi="Times New Roman" w:cs="Times New Roman"/>
        </w:rPr>
        <w:t xml:space="preserve"> with respect to time.</w:t>
      </w:r>
    </w:p>
    <w:p w:rsidR="00AB01BC" w:rsidRPr="00AB01BC" w:rsidRDefault="00AB01BC">
      <m:oMathPara>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-kt</m:t>
          </m:r>
        </m:oMath>
      </m:oMathPara>
    </w:p>
    <w:p w:rsidR="00AB01BC" w:rsidRPr="003B685F" w:rsidRDefault="00AB01BC" w:rsidP="00AB01BC">
      <w:pPr>
        <w:spacing w:after="0" w:line="360" w:lineRule="auto"/>
        <w:jc w:val="both"/>
        <w:rPr>
          <w:rFonts w:ascii="Times New Roman" w:hAnsi="Times New Roman" w:cs="Times New Roman"/>
        </w:rPr>
      </w:pPr>
      <w:r w:rsidRPr="003B685F">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oMath>
      <w:r w:rsidRPr="003B685F">
        <w:rPr>
          <w:rFonts w:ascii="Times New Roman" w:hAnsi="Times New Roman" w:cs="Times New Roman"/>
        </w:rPr>
        <w:t xml:space="preserve"> is quality at start of the cold chain. </w:t>
      </w:r>
      <m:oMath>
        <m:r>
          <w:rPr>
            <w:rFonts w:ascii="Cambria Math" w:hAnsi="Cambria Math"/>
          </w:rPr>
          <m:t>k</m:t>
        </m:r>
      </m:oMath>
      <w:r w:rsidRPr="003B685F">
        <w:rPr>
          <w:rFonts w:ascii="Times New Roman" w:hAnsi="Times New Roman" w:cs="Times New Roman"/>
        </w:rPr>
        <w:t xml:space="preserve"> is dependent on temperature, which is further solved over time with the help of Arrhenius relationship,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499"/>
      </w:tblGrid>
      <w:tr w:rsidR="00AB01BC" w:rsidRPr="003B685F" w:rsidTr="008D066C">
        <w:tc>
          <w:tcPr>
            <w:tcW w:w="4675" w:type="dxa"/>
          </w:tcPr>
          <w:p w:rsidR="00AB01BC" w:rsidRPr="003B685F" w:rsidRDefault="00AB01BC" w:rsidP="008D066C">
            <w:pPr>
              <w:spacing w:line="360" w:lineRule="auto"/>
              <w:jc w:val="both"/>
              <w:rPr>
                <w:rFonts w:ascii="Times New Roman" w:hAnsi="Times New Roman" w:cs="Times New Roman"/>
                <w:iCs/>
              </w:rPr>
            </w:pPr>
            <m:oMathPara>
              <m:oMathParaPr>
                <m:jc m:val="left"/>
              </m:oMathParaPr>
              <m:oMath>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num>
                      <m:den>
                        <m:r>
                          <w:rPr>
                            <w:rFonts w:ascii="Cambria Math" w:hAnsi="Cambria Math" w:cs="Times New Roman"/>
                          </w:rPr>
                          <m:t>RT</m:t>
                        </m:r>
                      </m:den>
                    </m:f>
                  </m:sup>
                </m:sSup>
              </m:oMath>
            </m:oMathPara>
          </w:p>
        </w:tc>
        <w:tc>
          <w:tcPr>
            <w:tcW w:w="4675" w:type="dxa"/>
            <w:vAlign w:val="center"/>
          </w:tcPr>
          <w:p w:rsidR="00AB01BC" w:rsidRPr="00651165" w:rsidRDefault="00AB01BC" w:rsidP="008D066C">
            <w:pPr>
              <w:pStyle w:val="Caption"/>
              <w:keepNext/>
              <w:spacing w:line="360" w:lineRule="auto"/>
              <w:jc w:val="right"/>
              <w:rPr>
                <w:rFonts w:ascii="Times New Roman" w:hAnsi="Times New Roman" w:cs="Times New Roman"/>
                <w:b w:val="0"/>
                <w:bCs w:val="0"/>
              </w:rPr>
            </w:pPr>
            <w:r w:rsidRPr="00651165">
              <w:rPr>
                <w:rFonts w:ascii="Times New Roman" w:hAnsi="Times New Roman" w:cs="Times New Roman"/>
                <w:b w:val="0"/>
                <w:bCs w:val="0"/>
              </w:rPr>
              <w:t>11</w:t>
            </w:r>
          </w:p>
        </w:tc>
      </w:tr>
    </w:tbl>
    <w:p w:rsidR="00AB01BC" w:rsidRPr="003B685F" w:rsidRDefault="00AB01BC" w:rsidP="00AB01BC">
      <w:pPr>
        <w:spacing w:line="360" w:lineRule="auto"/>
        <w:jc w:val="both"/>
        <w:rPr>
          <w:rFonts w:ascii="Times New Roman" w:hAnsi="Times New Roman" w:cs="Times New Roman"/>
        </w:rPr>
      </w:pPr>
      <w:r w:rsidRPr="003B685F">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oMath>
      <w:r w:rsidRPr="003B685F">
        <w:rPr>
          <w:rFonts w:ascii="Times New Roman" w:hAnsi="Times New Roman" w:cs="Times New Roman"/>
        </w:rPr>
        <w:t xml:space="preserve"> is a constant [d</w:t>
      </w:r>
      <w:r w:rsidRPr="003B685F">
        <w:rPr>
          <w:rFonts w:ascii="Times New Roman" w:hAnsi="Times New Roman" w:cs="Times New Roman"/>
          <w:vertAlign w:val="superscript"/>
        </w:rPr>
        <w:t>-1</w:t>
      </w:r>
      <w:r w:rsidRPr="003B685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oMath>
      <w:r w:rsidRPr="003B685F">
        <w:rPr>
          <w:rFonts w:ascii="Times New Roman" w:hAnsi="Times New Roman" w:cs="Times New Roman"/>
        </w:rPr>
        <w:t xml:space="preserve"> is the activation energy [J mol</w:t>
      </w:r>
      <w:r w:rsidRPr="003B685F">
        <w:rPr>
          <w:rFonts w:ascii="Times New Roman" w:hAnsi="Times New Roman" w:cs="Times New Roman"/>
          <w:vertAlign w:val="superscript"/>
        </w:rPr>
        <w:t>-1</w:t>
      </w:r>
      <w:r w:rsidRPr="003B685F">
        <w:rPr>
          <w:rFonts w:ascii="Times New Roman" w:hAnsi="Times New Roman" w:cs="Times New Roman"/>
        </w:rPr>
        <w:t xml:space="preserve">], </w:t>
      </w:r>
      <m:oMath>
        <m:r>
          <w:rPr>
            <w:rFonts w:ascii="Cambria Math" w:hAnsi="Cambria Math" w:cs="Times New Roman"/>
          </w:rPr>
          <m:t>R</m:t>
        </m:r>
      </m:oMath>
      <w:r w:rsidRPr="003B685F">
        <w:rPr>
          <w:rFonts w:ascii="Times New Roman" w:hAnsi="Times New Roman" w:cs="Times New Roman"/>
        </w:rPr>
        <w:t xml:space="preserve"> is the ideal gas constant [8.314 J mol</w:t>
      </w:r>
      <w:r w:rsidRPr="003B685F">
        <w:rPr>
          <w:rFonts w:ascii="Times New Roman" w:hAnsi="Times New Roman" w:cs="Times New Roman"/>
          <w:vertAlign w:val="superscript"/>
        </w:rPr>
        <w:t>-1</w:t>
      </w:r>
      <w:r w:rsidRPr="003B685F">
        <w:rPr>
          <w:rFonts w:ascii="Times New Roman" w:hAnsi="Times New Roman" w:cs="Times New Roman"/>
        </w:rPr>
        <w:t>K</w:t>
      </w:r>
      <w:r w:rsidRPr="003B685F">
        <w:rPr>
          <w:rFonts w:ascii="Times New Roman" w:hAnsi="Times New Roman" w:cs="Times New Roman"/>
          <w:vertAlign w:val="superscript"/>
        </w:rPr>
        <w:t>-1</w:t>
      </w:r>
      <w:r w:rsidRPr="003B685F">
        <w:rPr>
          <w:rFonts w:ascii="Times New Roman" w:hAnsi="Times New Roman" w:cs="Times New Roman"/>
        </w:rPr>
        <w:t xml:space="preserve">], </w:t>
      </w:r>
      <m:oMath>
        <m:r>
          <w:rPr>
            <w:rFonts w:ascii="Cambria Math" w:hAnsi="Cambria Math" w:cs="Times New Roman"/>
          </w:rPr>
          <m:t>T</m:t>
        </m:r>
      </m:oMath>
      <w:r w:rsidRPr="003B685F">
        <w:rPr>
          <w:rFonts w:ascii="Times New Roman" w:hAnsi="Times New Roman" w:cs="Times New Roman"/>
        </w:rPr>
        <w:t xml:space="preserve"> is the absolute temperature [K]. </w:t>
      </w:r>
    </w:p>
    <w:p w:rsidR="00AB01BC" w:rsidRPr="003B685F" w:rsidRDefault="00AB01BC" w:rsidP="00AB01BC">
      <w:pPr>
        <w:spacing w:line="360" w:lineRule="auto"/>
        <w:jc w:val="both"/>
        <w:rPr>
          <w:rFonts w:ascii="Times New Roman" w:hAnsi="Times New Roman" w:cs="Times New Roman"/>
        </w:rPr>
      </w:pPr>
      <w:r>
        <w:rPr>
          <w:rFonts w:ascii="Times New Roman" w:hAnsi="Times New Roman" w:cs="Times New Roman"/>
        </w:rPr>
        <w:t>Mangoes</w:t>
      </w:r>
      <w:r w:rsidRPr="003B685F">
        <w:rPr>
          <w:rFonts w:ascii="Times New Roman" w:hAnsi="Times New Roman" w:cs="Times New Roman"/>
        </w:rPr>
        <w:t xml:space="preserve"> can be stored for 28 d</w:t>
      </w:r>
      <w:r>
        <w:rPr>
          <w:rFonts w:ascii="Times New Roman" w:hAnsi="Times New Roman" w:cs="Times New Roman"/>
        </w:rPr>
        <w:t>ays</w:t>
      </w:r>
      <w:r w:rsidRPr="003B685F">
        <w:rPr>
          <w:rFonts w:ascii="Times New Roman" w:hAnsi="Times New Roman" w:cs="Times New Roman"/>
        </w:rPr>
        <w:t xml:space="preserve"> at </w:t>
      </w:r>
      <w:r>
        <w:rPr>
          <w:rFonts w:ascii="Times New Roman" w:hAnsi="Times New Roman" w:cs="Times New Roman"/>
        </w:rPr>
        <w:t>285K</w:t>
      </w:r>
      <w:r w:rsidRPr="003B685F">
        <w:rPr>
          <w:rFonts w:ascii="Times New Roman" w:hAnsi="Times New Roman" w:cs="Times New Roman"/>
        </w:rPr>
        <w:t xml:space="preserve"> </w:t>
      </w:r>
      <w:r w:rsidRPr="003B685F">
        <w:rPr>
          <w:rFonts w:ascii="Times New Roman" w:hAnsi="Times New Roman" w:cs="Times New Roman"/>
          <w:color w:val="00B0F0"/>
        </w:rPr>
        <w:fldChar w:fldCharType="begin" w:fldLock="1"/>
      </w:r>
      <w:r>
        <w:rPr>
          <w:rFonts w:ascii="Times New Roman" w:hAnsi="Times New Roman" w:cs="Times New Roman"/>
          <w:color w:val="00B0F0"/>
        </w:rPr>
        <w:instrText>ADDIN CSL_CITATION {"citationItems":[{"id":"ITEM-1","itemData":{"DOI":"10.20546/ijcmas.2017.611.099","ISSN":"23197692","author":[{"dropping-particle":"","family":"Kanade","given":"N.M.","non-dropping-particle":"","parse-names":false,"suffix":""},{"dropping-particle":"","family":"Pawar","given":"C.D.","non-dropping-particle":"","parse-names":false,"suffix":""},{"dropping-particle":"","family":"Ghule","given":"V.S.","non-dropping-particle":"","parse-names":false,"suffix":""},{"dropping-particle":"","family":"Gajbhiye","given":"R.C.","non-dropping-particle":"","parse-names":false,"suffix":""},{"dropping-particle":"","family":"Salvi","given":"B.R.","non-dropping-particle":"","parse-names":false,"suffix":""}],"container-title":"International Journal of Current Microbiology and Applied Sciences","id":"ITEM-1","issue":"11","issued":{"date-parts":[["2017"]]},"page":"845-855","title":"Effect of Different Precooling and Storage Temperatures on Shelf Life of Mango cv. Alphonso","type":"article-journal","volume":"6"},"uris":["http://www.mendeley.com/documents/?uuid=8109dbd1-b3cf-4864-9e4c-f947fee2c9cc"]}],"mendeley":{"formattedCitation":"(Kanade, Pawar, Ghule, Gajbhiye, &amp; Salvi, 2017)","manualFormatting":"(Kanade, Gajbhiye, &amp; Salvi, 2017)","plainTextFormattedCitation":"(Kanade, Pawar, Ghule, Gajbhiye, &amp; Salvi, 2017)","previouslyFormattedCitation":"(Kanade, Pawar, Ghule, Gajbhiye, &amp; Salvi, 2017)"},"properties":{"noteIndex":0},"schema":"https://github.com/citation-style-language/schema/raw/master/csl-citation.json"}</w:instrText>
      </w:r>
      <w:r w:rsidRPr="003B685F">
        <w:rPr>
          <w:rFonts w:ascii="Times New Roman" w:hAnsi="Times New Roman" w:cs="Times New Roman"/>
          <w:color w:val="00B0F0"/>
        </w:rPr>
        <w:fldChar w:fldCharType="separate"/>
      </w:r>
      <w:r w:rsidRPr="00E24B9D">
        <w:rPr>
          <w:rFonts w:ascii="Times New Roman" w:hAnsi="Times New Roman" w:cs="Times New Roman"/>
          <w:noProof/>
          <w:color w:val="00B0F0"/>
        </w:rPr>
        <w:t>(Kanade, Gajbhiye, &amp; Salvi, 2017)</w:t>
      </w:r>
      <w:r w:rsidRPr="003B685F">
        <w:rPr>
          <w:rFonts w:ascii="Times New Roman" w:hAnsi="Times New Roman" w:cs="Times New Roman"/>
          <w:color w:val="00B0F0"/>
        </w:rPr>
        <w:fldChar w:fldCharType="end"/>
      </w:r>
      <w:r w:rsidRPr="003B685F">
        <w:rPr>
          <w:rFonts w:ascii="Times New Roman" w:hAnsi="Times New Roman" w:cs="Times New Roman"/>
        </w:rPr>
        <w:t>, which indicates that its initial overall quality attribute is 100 % and after 28 d</w:t>
      </w:r>
      <w:r>
        <w:rPr>
          <w:rFonts w:ascii="Times New Roman" w:hAnsi="Times New Roman" w:cs="Times New Roman"/>
        </w:rPr>
        <w:t>ays</w:t>
      </w:r>
      <w:r w:rsidRPr="003B685F">
        <w:rPr>
          <w:rFonts w:ascii="Times New Roman" w:hAnsi="Times New Roman" w:cs="Times New Roman"/>
        </w:rPr>
        <w:t xml:space="preserve"> it is 1 % that is it’s in non-consumable condition. An increase in temperature of 10</w:t>
      </w:r>
      <w:r>
        <w:rPr>
          <w:rFonts w:ascii="Times New Roman" w:hAnsi="Times New Roman" w:cs="Times New Roman"/>
        </w:rPr>
        <w:t>K</w:t>
      </w:r>
      <w:r w:rsidRPr="003B685F">
        <w:rPr>
          <w:rFonts w:ascii="Times New Roman" w:hAnsi="Times New Roman" w:cs="Times New Roman"/>
        </w:rPr>
        <w:t xml:space="preserve"> decreases the shelf life of the fruit by a factor of </w:t>
      </w:r>
      <w:r>
        <w:rPr>
          <w:rFonts w:ascii="Times New Roman" w:hAnsi="Times New Roman" w:cs="Times New Roman"/>
        </w:rPr>
        <w:t>2</w:t>
      </w:r>
      <w:r w:rsidRPr="003B685F">
        <w:rPr>
          <w:rFonts w:ascii="Times New Roman" w:hAnsi="Times New Roman" w:cs="Times New Roman"/>
        </w:rPr>
        <w:t xml:space="preserve"> </w:t>
      </w:r>
      <w:r w:rsidRPr="003B685F">
        <w:rPr>
          <w:rFonts w:ascii="Times New Roman" w:hAnsi="Times New Roman" w:cs="Times New Roman"/>
          <w:color w:val="00B0F0"/>
        </w:rPr>
        <w:fldChar w:fldCharType="begin" w:fldLock="1"/>
      </w:r>
      <w:r w:rsidRPr="003B685F">
        <w:rPr>
          <w:rFonts w:ascii="Times New Roman" w:hAnsi="Times New Roman" w:cs="Times New Roman"/>
          <w:color w:val="00B0F0"/>
        </w:rPr>
        <w:instrText>ADDIN CSL_CITATION {"citationItems":[{"id":"ITEM-1","itemData":{"DOI":"10.20546/ijcmas.2017.611.099","ISSN":"23197692","author":[{"dropping-particle":"","family":"Kanade","given":"N.M.","non-dropping-particle":"","parse-names":false,"suffix":""},{"dropping-particle":"","family":"Pawar","given":"C.D.","non-dropping-particle":"","parse-names":false,"suffix":""},{"dropping-particle":"","family":"Ghule","given":"V.S.","non-dropping-particle":"","parse-names":false,"suffix":""},{"dropping-particle":"","family":"Gajbhiye","given":"R.C.","non-dropping-particle":"","parse-names":false,"suffix":""},{"dropping-particle":"","family":"Salvi","given":"B.R.","non-dropping-particle":"","parse-names":false,"suffix":""}],"container-title":"International Journal of Current Microbiology and Applied Sciences","id":"ITEM-1","issue":"11","issued":{"date-parts":[["2017"]]},"page":"845-855","title":"Effect of Different Precooling and Storage Temperatures on Shelf Life of Mango cv. Alphonso","type":"article-journal","volume":"6"},"uris":["http://www.mendeley.com/documents/?uuid=8109dbd1-b3cf-4864-9e4c-f947fee2c9cc"]}],"mendeley":{"formattedCitation":"(Kanade et al., 2017)","plainTextFormattedCitation":"(Kanade et al., 2017)","previouslyFormattedCitation":"(Kanade et al., 2017)"},"properties":{"noteIndex":0},"schema":"https://github.com/citation-style-language/schema/raw/master/csl-citation.json"}</w:instrText>
      </w:r>
      <w:r w:rsidRPr="003B685F">
        <w:rPr>
          <w:rFonts w:ascii="Times New Roman" w:hAnsi="Times New Roman" w:cs="Times New Roman"/>
          <w:color w:val="00B0F0"/>
        </w:rPr>
        <w:fldChar w:fldCharType="separate"/>
      </w:r>
      <w:r w:rsidRPr="003B685F">
        <w:rPr>
          <w:rFonts w:ascii="Times New Roman" w:hAnsi="Times New Roman" w:cs="Times New Roman"/>
          <w:noProof/>
          <w:color w:val="00B0F0"/>
        </w:rPr>
        <w:t>(Kanade et al., 2017)</w:t>
      </w:r>
      <w:r w:rsidRPr="003B685F">
        <w:rPr>
          <w:rFonts w:ascii="Times New Roman" w:hAnsi="Times New Roman" w:cs="Times New Roman"/>
          <w:color w:val="00B0F0"/>
        </w:rPr>
        <w:fldChar w:fldCharType="end"/>
      </w:r>
      <w:r w:rsidRPr="003B685F">
        <w:rPr>
          <w:rFonts w:ascii="Times New Roman" w:hAnsi="Times New Roman" w:cs="Times New Roman"/>
        </w:rPr>
        <w:t>. From these conditions and by using eq. (</w:t>
      </w:r>
      <w:r>
        <w:rPr>
          <w:rFonts w:ascii="Times New Roman" w:hAnsi="Times New Roman" w:cs="Times New Roman"/>
        </w:rPr>
        <w:t>9</w:t>
      </w:r>
      <w:r w:rsidRPr="003B685F">
        <w:rPr>
          <w:rFonts w:ascii="Times New Roman" w:hAnsi="Times New Roman" w:cs="Times New Roman"/>
        </w:rPr>
        <w:t>), eq. (1</w:t>
      </w:r>
      <w:r>
        <w:rPr>
          <w:rFonts w:ascii="Times New Roman" w:hAnsi="Times New Roman" w:cs="Times New Roman"/>
        </w:rPr>
        <w:t>0</w:t>
      </w:r>
      <w:r w:rsidRPr="003B685F">
        <w:rPr>
          <w:rFonts w:ascii="Times New Roman" w:hAnsi="Times New Roman" w:cs="Times New Roman"/>
        </w:rPr>
        <w:t>) and eq. (1</w:t>
      </w:r>
      <w:r>
        <w:rPr>
          <w:rFonts w:ascii="Times New Roman" w:hAnsi="Times New Roman" w:cs="Times New Roman"/>
        </w:rPr>
        <w:t>1</w:t>
      </w:r>
      <w:r w:rsidRPr="003B685F">
        <w:rPr>
          <w:rFonts w:ascii="Times New Roman" w:hAnsi="Times New Roman" w:cs="Times New Roman"/>
        </w:rPr>
        <w:t xml:space="preserve">) the values of the constants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oMath>
      <w:r w:rsidRPr="003B685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oMath>
      <w:r w:rsidRPr="003B685F">
        <w:rPr>
          <w:rFonts w:ascii="Times New Roman" w:hAnsi="Times New Roman" w:cs="Times New Roman"/>
        </w:rPr>
        <w:t xml:space="preserve"> are determined. </w:t>
      </w:r>
    </w:p>
    <w:p w:rsidR="00AB01BC" w:rsidRDefault="00AB01BC" w:rsidP="00AB01BC">
      <w:pPr>
        <w:spacing w:after="120" w:line="360" w:lineRule="auto"/>
        <w:jc w:val="both"/>
        <w:rPr>
          <w:rFonts w:ascii="Times New Roman" w:hAnsi="Times New Roman" w:cs="Times New Roman"/>
        </w:rPr>
      </w:pPr>
      <w:r w:rsidRPr="003B685F">
        <w:rPr>
          <w:rFonts w:ascii="Times New Roman" w:hAnsi="Times New Roman" w:cs="Times New Roman"/>
        </w:rPr>
        <w:t xml:space="preserve">The rate constant varies with temperature. Different rate constants are obtained at different fruit core temperatures and hence the overall fruit quality attribute of individual mangoes in the box with respect to time. </w:t>
      </w:r>
    </w:p>
    <w:p w:rsidR="00AB01BC" w:rsidRDefault="00AB01BC"/>
    <w:sectPr w:rsidR="00AB0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TMxNjAzNDMyMjRS0lEKTi0uzszPAykwrAUA3p7oVywAAAA="/>
  </w:docVars>
  <w:rsids>
    <w:rsidRoot w:val="00AB01BC"/>
    <w:rsid w:val="00401FE9"/>
    <w:rsid w:val="00507ECF"/>
    <w:rsid w:val="00AB01BC"/>
    <w:rsid w:val="00B93B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88BE"/>
  <w15:chartTrackingRefBased/>
  <w15:docId w15:val="{B57167B5-CAC5-4CD6-ADF9-388F5467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BC"/>
    <w:pPr>
      <w:spacing w:line="480"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1BC"/>
    <w:pPr>
      <w:spacing w:after="0" w:line="240" w:lineRule="auto"/>
    </w:pPr>
    <w:rPr>
      <w:rFonts w:eastAsiaTheme="minorEastAsia"/>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B01BC"/>
    <w:pPr>
      <w:spacing w:line="240" w:lineRule="auto"/>
    </w:pPr>
    <w:rPr>
      <w:b/>
      <w:bCs/>
      <w:smallCap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Pattanaik</dc:creator>
  <cp:keywords/>
  <dc:description/>
  <cp:lastModifiedBy>Swati Pattanaik</cp:lastModifiedBy>
  <cp:revision>1</cp:revision>
  <dcterms:created xsi:type="dcterms:W3CDTF">2023-04-11T00:27:00Z</dcterms:created>
  <dcterms:modified xsi:type="dcterms:W3CDTF">2023-04-11T00:28:00Z</dcterms:modified>
</cp:coreProperties>
</file>