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BD667" w14:textId="057D11A6" w:rsidR="00161EE6" w:rsidRDefault="00161EE6">
      <w:pPr>
        <w:rPr>
          <w:rFonts w:ascii="Source Sans Pro" w:hAnsi="Source Sans Pro"/>
          <w:sz w:val="26"/>
          <w:szCs w:val="26"/>
          <w:shd w:val="clear" w:color="auto" w:fill="FFFFFF"/>
        </w:rPr>
      </w:pPr>
      <w:r w:rsidRPr="00161EE6">
        <w:rPr>
          <w:rFonts w:ascii="Source Sans Pro" w:hAnsi="Source Sans Pro"/>
          <w:sz w:val="26"/>
          <w:szCs w:val="26"/>
          <w:shd w:val="clear" w:color="auto" w:fill="FFFFFF"/>
        </w:rPr>
        <w:t>This chart is a combination of a Box Plot and a Density Plot that is rotated and placed on each side, to show the distribution shape of the data. The thick black bar in the centre represents the interquartile range, the thin black line extended from it represents the 95% confidence intervals, and the white dot is the median</w:t>
      </w:r>
    </w:p>
    <w:p w14:paraId="2A1AB2D9" w14:textId="07FE2E08" w:rsidR="00161EE6" w:rsidRDefault="00161EE6">
      <w:pPr>
        <w:rPr>
          <w:sz w:val="26"/>
          <w:szCs w:val="26"/>
        </w:rPr>
      </w:pPr>
      <w:r>
        <w:rPr>
          <w:noProof/>
        </w:rPr>
        <w:drawing>
          <wp:inline distT="0" distB="0" distL="0" distR="0" wp14:anchorId="2BCA872E" wp14:editId="43073EBA">
            <wp:extent cx="5731510" cy="3505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05200"/>
                    </a:xfrm>
                    <a:prstGeom prst="rect">
                      <a:avLst/>
                    </a:prstGeom>
                  </pic:spPr>
                </pic:pic>
              </a:graphicData>
            </a:graphic>
          </wp:inline>
        </w:drawing>
      </w:r>
    </w:p>
    <w:p w14:paraId="3D388ED2" w14:textId="31909B7A" w:rsidR="00161EE6" w:rsidRPr="00161EE6" w:rsidRDefault="00161EE6">
      <w:pPr>
        <w:rPr>
          <w:sz w:val="26"/>
          <w:szCs w:val="26"/>
        </w:rPr>
      </w:pPr>
      <w:r>
        <w:rPr>
          <w:sz w:val="26"/>
          <w:szCs w:val="26"/>
        </w:rPr>
        <w:t>Below fig shows violin plot of IRIS dataset.</w:t>
      </w:r>
    </w:p>
    <w:p w14:paraId="6271E4AC" w14:textId="0F3A4F96" w:rsidR="00D5158A" w:rsidRDefault="002B5CAE">
      <w:r>
        <w:rPr>
          <w:noProof/>
        </w:rPr>
        <w:drawing>
          <wp:inline distT="0" distB="0" distL="0" distR="0" wp14:anchorId="71CBD357" wp14:editId="33779CF4">
            <wp:extent cx="54102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3857625"/>
                    </a:xfrm>
                    <a:prstGeom prst="rect">
                      <a:avLst/>
                    </a:prstGeom>
                  </pic:spPr>
                </pic:pic>
              </a:graphicData>
            </a:graphic>
          </wp:inline>
        </w:drawing>
      </w:r>
    </w:p>
    <w:p w14:paraId="3AD035B1" w14:textId="60A8A064" w:rsidR="002B5CAE" w:rsidRDefault="002B5CAE"/>
    <w:p w14:paraId="401DF50B" w14:textId="3444658E" w:rsidR="002B5CAE" w:rsidRDefault="002B5CAE">
      <w:r>
        <w:rPr>
          <w:noProof/>
        </w:rPr>
        <w:drawing>
          <wp:inline distT="0" distB="0" distL="0" distR="0" wp14:anchorId="7421148A" wp14:editId="341DDC62">
            <wp:extent cx="57245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3695700"/>
                    </a:xfrm>
                    <a:prstGeom prst="rect">
                      <a:avLst/>
                    </a:prstGeom>
                  </pic:spPr>
                </pic:pic>
              </a:graphicData>
            </a:graphic>
          </wp:inline>
        </w:drawing>
      </w:r>
    </w:p>
    <w:p w14:paraId="3EF8CB9B" w14:textId="514DD2B2" w:rsidR="002C2F8F" w:rsidRDefault="002C2F8F"/>
    <w:p w14:paraId="3198C856" w14:textId="51498C7F" w:rsidR="00E63C7D" w:rsidRPr="00E63C7D" w:rsidRDefault="00E63C7D">
      <w:pPr>
        <w:rPr>
          <w:sz w:val="26"/>
          <w:szCs w:val="26"/>
        </w:rPr>
      </w:pPr>
      <w:r>
        <w:rPr>
          <w:sz w:val="26"/>
          <w:szCs w:val="26"/>
        </w:rPr>
        <w:t>The bell shape figure around box plot is PDF.</w:t>
      </w:r>
    </w:p>
    <w:p w14:paraId="67D79967" w14:textId="20C9E8F2" w:rsidR="002C2F8F" w:rsidRDefault="00A63686">
      <w:r>
        <w:rPr>
          <w:noProof/>
        </w:rPr>
        <w:drawing>
          <wp:inline distT="0" distB="0" distL="0" distR="0" wp14:anchorId="2748DD07" wp14:editId="17983FBA">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4650"/>
                    </a:xfrm>
                    <a:prstGeom prst="rect">
                      <a:avLst/>
                    </a:prstGeom>
                  </pic:spPr>
                </pic:pic>
              </a:graphicData>
            </a:graphic>
          </wp:inline>
        </w:drawing>
      </w:r>
    </w:p>
    <w:p w14:paraId="7CFA4502" w14:textId="5D3B3042" w:rsidR="00D82DF7" w:rsidRDefault="00D82DF7"/>
    <w:p w14:paraId="42B747D1" w14:textId="3CD8D2DB" w:rsidR="00D82DF7" w:rsidRPr="00D82DF7" w:rsidRDefault="00D82DF7">
      <w:pPr>
        <w:rPr>
          <w:b/>
          <w:sz w:val="26"/>
          <w:szCs w:val="26"/>
        </w:rPr>
      </w:pPr>
      <w:r>
        <w:rPr>
          <w:b/>
          <w:sz w:val="26"/>
          <w:szCs w:val="26"/>
        </w:rPr>
        <w:t>Reasons for using violin graph.</w:t>
      </w:r>
      <w:bookmarkStart w:id="0" w:name="_GoBack"/>
      <w:bookmarkEnd w:id="0"/>
    </w:p>
    <w:p w14:paraId="455A2C44" w14:textId="1EB33D16" w:rsidR="00D82DF7" w:rsidRDefault="00D82DF7">
      <w:hyperlink r:id="rId8" w:history="1">
        <w:r>
          <w:rPr>
            <w:rStyle w:val="Hyperlink"/>
          </w:rPr>
          <w:t>https://blog.bioturing.com/2018/05/16/5-reasons-you-should-use-a-violin-graph/</w:t>
        </w:r>
      </w:hyperlink>
    </w:p>
    <w:sectPr w:rsidR="00D82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0"/>
    <w:rsid w:val="00161EE6"/>
    <w:rsid w:val="002B5CAE"/>
    <w:rsid w:val="002C2F8F"/>
    <w:rsid w:val="005E3580"/>
    <w:rsid w:val="00A63686"/>
    <w:rsid w:val="00C4373B"/>
    <w:rsid w:val="00CE6B79"/>
    <w:rsid w:val="00D82DF7"/>
    <w:rsid w:val="00E6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094C"/>
  <w15:chartTrackingRefBased/>
  <w15:docId w15:val="{F7F6FE58-70FD-473A-90AF-40FC99D0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CAE"/>
    <w:rPr>
      <w:rFonts w:ascii="Segoe UI" w:hAnsi="Segoe UI" w:cs="Segoe UI"/>
      <w:sz w:val="18"/>
      <w:szCs w:val="18"/>
    </w:rPr>
  </w:style>
  <w:style w:type="character" w:styleId="Hyperlink">
    <w:name w:val="Hyperlink"/>
    <w:basedOn w:val="DefaultParagraphFont"/>
    <w:uiPriority w:val="99"/>
    <w:semiHidden/>
    <w:unhideWhenUsed/>
    <w:rsid w:val="00D82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ioturing.com/2018/05/16/5-reasons-you-should-use-a-violin-graph/"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6</cp:revision>
  <dcterms:created xsi:type="dcterms:W3CDTF">2019-04-10T06:51:00Z</dcterms:created>
  <dcterms:modified xsi:type="dcterms:W3CDTF">2019-04-10T07:08:00Z</dcterms:modified>
</cp:coreProperties>
</file>