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339" w:rsidRDefault="00BB4339">
      <w:pPr>
        <w:rPr>
          <w:sz w:val="26"/>
          <w:szCs w:val="26"/>
        </w:rPr>
      </w:pPr>
      <w:r>
        <w:rPr>
          <w:sz w:val="26"/>
          <w:szCs w:val="26"/>
        </w:rPr>
        <w:t xml:space="preserve">As we’ve seen in Logistic </w:t>
      </w:r>
      <w:proofErr w:type="spellStart"/>
      <w:r>
        <w:rPr>
          <w:sz w:val="26"/>
          <w:szCs w:val="26"/>
        </w:rPr>
        <w:t>Reg</w:t>
      </w:r>
      <w:proofErr w:type="spellEnd"/>
      <w:r>
        <w:rPr>
          <w:sz w:val="26"/>
          <w:szCs w:val="26"/>
        </w:rPr>
        <w:t>, SVM, KNN that we need to do standardization in order to bring all the feature on same scale, because in all the meth</w:t>
      </w:r>
      <w:r w:rsidR="005240A7">
        <w:rPr>
          <w:sz w:val="26"/>
          <w:szCs w:val="26"/>
        </w:rPr>
        <w:t>ods we were finding distance, and whenever we find distance, they should standardized.</w:t>
      </w:r>
    </w:p>
    <w:p w:rsidR="005240A7" w:rsidRDefault="005240A7">
      <w:pPr>
        <w:rPr>
          <w:sz w:val="26"/>
          <w:szCs w:val="26"/>
        </w:rPr>
      </w:pPr>
      <w:r>
        <w:rPr>
          <w:sz w:val="26"/>
          <w:szCs w:val="26"/>
        </w:rPr>
        <w:t>But as in decision we are nowhere finding distance, we are just ordering data, and performing split on them so in DT we don’t need to any of the standardization or normalization.</w:t>
      </w:r>
      <w:r w:rsidR="00F96D38">
        <w:rPr>
          <w:sz w:val="26"/>
          <w:szCs w:val="26"/>
        </w:rPr>
        <w:tab/>
      </w:r>
    </w:p>
    <w:p w:rsidR="00BB4339" w:rsidRDefault="00BB4339">
      <w:pPr>
        <w:rPr>
          <w:sz w:val="26"/>
          <w:szCs w:val="26"/>
        </w:rPr>
      </w:pPr>
      <w:r>
        <w:rPr>
          <w:noProof/>
        </w:rPr>
        <w:drawing>
          <wp:inline distT="0" distB="0" distL="0" distR="0" wp14:anchorId="7CB6731E" wp14:editId="7E6B493F">
            <wp:extent cx="5943600" cy="35915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591560"/>
                    </a:xfrm>
                    <a:prstGeom prst="rect">
                      <a:avLst/>
                    </a:prstGeom>
                  </pic:spPr>
                </pic:pic>
              </a:graphicData>
            </a:graphic>
          </wp:inline>
        </w:drawing>
      </w:r>
    </w:p>
    <w:p w:rsidR="00BB4339" w:rsidRDefault="00BB4339">
      <w:pPr>
        <w:rPr>
          <w:sz w:val="26"/>
          <w:szCs w:val="26"/>
        </w:rPr>
      </w:pPr>
      <w:r>
        <w:rPr>
          <w:noProof/>
        </w:rPr>
        <w:drawing>
          <wp:inline distT="0" distB="0" distL="0" distR="0" wp14:anchorId="47D82EBE" wp14:editId="7319D4E8">
            <wp:extent cx="5943600" cy="3129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29280"/>
                    </a:xfrm>
                    <a:prstGeom prst="rect">
                      <a:avLst/>
                    </a:prstGeom>
                  </pic:spPr>
                </pic:pic>
              </a:graphicData>
            </a:graphic>
          </wp:inline>
        </w:drawing>
      </w:r>
    </w:p>
    <w:p w:rsidR="00F96D38" w:rsidRDefault="00F96D38">
      <w:pPr>
        <w:rPr>
          <w:sz w:val="26"/>
          <w:szCs w:val="26"/>
        </w:rPr>
      </w:pPr>
    </w:p>
    <w:p w:rsidR="00950F10" w:rsidRDefault="00BB4339">
      <w:pPr>
        <w:rPr>
          <w:sz w:val="26"/>
          <w:szCs w:val="26"/>
        </w:rPr>
      </w:pPr>
      <w:r>
        <w:rPr>
          <w:noProof/>
        </w:rPr>
        <w:lastRenderedPageBreak/>
        <w:drawing>
          <wp:inline distT="0" distB="0" distL="0" distR="0" wp14:anchorId="4F849B6B" wp14:editId="391AE0A7">
            <wp:extent cx="5943600" cy="1872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872615"/>
                    </a:xfrm>
                    <a:prstGeom prst="rect">
                      <a:avLst/>
                    </a:prstGeom>
                  </pic:spPr>
                </pic:pic>
              </a:graphicData>
            </a:graphic>
          </wp:inline>
        </w:drawing>
      </w:r>
    </w:p>
    <w:p w:rsidR="00F96D38" w:rsidRDefault="00F96D38">
      <w:pPr>
        <w:rPr>
          <w:sz w:val="26"/>
          <w:szCs w:val="26"/>
        </w:rPr>
      </w:pPr>
    </w:p>
    <w:p w:rsidR="00F96D38" w:rsidRDefault="00F96D38">
      <w:r>
        <w:rPr>
          <w:sz w:val="26"/>
          <w:szCs w:val="26"/>
        </w:rPr>
        <w:t xml:space="preserve">Various ways to perform encoding: </w:t>
      </w:r>
      <w:hyperlink r:id="rId8" w:history="1">
        <w:r>
          <w:rPr>
            <w:rStyle w:val="Hyperlink"/>
          </w:rPr>
          <w:t>https://towardsdatascience.com/smarter-ways-to-encode-categorical-data-for-machine-learning-part-1-of-3-6dca2f71b159</w:t>
        </w:r>
      </w:hyperlink>
    </w:p>
    <w:p w:rsidR="00F96D38" w:rsidRPr="00F96D38" w:rsidRDefault="00F96D38">
      <w:pPr>
        <w:rPr>
          <w:sz w:val="26"/>
          <w:szCs w:val="26"/>
        </w:rPr>
      </w:pPr>
      <w:r>
        <w:rPr>
          <w:sz w:val="26"/>
          <w:szCs w:val="26"/>
        </w:rPr>
        <w:t xml:space="preserve">Why tree based model performs bad with one hot encoding: </w:t>
      </w:r>
      <w:hyperlink r:id="rId9" w:history="1">
        <w:r>
          <w:rPr>
            <w:rStyle w:val="Hyperlink"/>
          </w:rPr>
          <w:t>https://towardsdatascience.com/smarter-ways-to-encode-categorical-data-for-machine-learning-part-1-of-3-6dca2f71b159</w:t>
        </w:r>
      </w:hyperlink>
      <w:bookmarkStart w:id="0" w:name="_GoBack"/>
      <w:bookmarkEnd w:id="0"/>
    </w:p>
    <w:sectPr w:rsidR="00F96D38" w:rsidRPr="00F96D38" w:rsidSect="00BB43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96D"/>
    <w:rsid w:val="005240A7"/>
    <w:rsid w:val="00950F10"/>
    <w:rsid w:val="00B7096D"/>
    <w:rsid w:val="00BB4339"/>
    <w:rsid w:val="00F96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4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339"/>
    <w:rPr>
      <w:rFonts w:ascii="Tahoma" w:hAnsi="Tahoma" w:cs="Tahoma"/>
      <w:sz w:val="16"/>
      <w:szCs w:val="16"/>
    </w:rPr>
  </w:style>
  <w:style w:type="character" w:styleId="Hyperlink">
    <w:name w:val="Hyperlink"/>
    <w:basedOn w:val="DefaultParagraphFont"/>
    <w:uiPriority w:val="99"/>
    <w:semiHidden/>
    <w:unhideWhenUsed/>
    <w:rsid w:val="00F96D3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4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339"/>
    <w:rPr>
      <w:rFonts w:ascii="Tahoma" w:hAnsi="Tahoma" w:cs="Tahoma"/>
      <w:sz w:val="16"/>
      <w:szCs w:val="16"/>
    </w:rPr>
  </w:style>
  <w:style w:type="character" w:styleId="Hyperlink">
    <w:name w:val="Hyperlink"/>
    <w:basedOn w:val="DefaultParagraphFont"/>
    <w:uiPriority w:val="99"/>
    <w:semiHidden/>
    <w:unhideWhenUsed/>
    <w:rsid w:val="00F96D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smarter-ways-to-encode-categorical-data-for-machine-learning-part-1-of-3-6dca2f71b159" TargetMode="Externa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smarter-ways-to-encode-categorical-data-for-machine-learning-part-1-of-3-6dca2f71b1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5</cp:revision>
  <dcterms:created xsi:type="dcterms:W3CDTF">2019-06-08T14:17:00Z</dcterms:created>
  <dcterms:modified xsi:type="dcterms:W3CDTF">2019-06-08T14:39:00Z</dcterms:modified>
</cp:coreProperties>
</file>