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n404-unit-6-seminar-summary-notes"/>
    <w:p>
      <w:pPr>
        <w:pStyle w:val="Heading1"/>
      </w:pPr>
      <w:r>
        <w:t xml:space="preserve">IN404 Unit 6 – Seminar Summary Notes</w:t>
      </w:r>
    </w:p>
    <w:bookmarkStart w:id="20" w:name="Xe37feb00518dbb5f63a72a4432a51710053c371"/>
    <w:p>
      <w:pPr>
        <w:pStyle w:val="Heading2"/>
      </w:pPr>
      <w:r>
        <w:t xml:space="preserve">Kernel Analysis: Data Visualization and Model Evaluation</w:t>
      </w:r>
    </w:p>
    <w:p>
      <w:pPr>
        <w:pStyle w:val="FirstParagraph"/>
      </w:pPr>
      <w:r>
        <w:rPr>
          <w:bCs/>
          <w:b/>
        </w:rPr>
        <w:t xml:space="preserve">Shubham Raj</w:t>
      </w:r>
    </w:p>
    <w:p>
      <w:r>
        <w:pict>
          <v:rect style="width:0;height:1.5pt" o:hralign="center" o:hrstd="t" o:hr="t"/>
        </w:pict>
      </w:r>
    </w:p>
    <w:bookmarkEnd w:id="20"/>
    <w:bookmarkStart w:id="30" w:name="main-points-discussed"/>
    <w:p>
      <w:pPr>
        <w:pStyle w:val="Heading2"/>
      </w:pPr>
      <w:r>
        <w:t xml:space="preserve">Main Points Discussed</w:t>
      </w:r>
    </w:p>
    <w:bookmarkStart w:id="21" w:name="introduction-and-unit-6-overview"/>
    <w:p>
      <w:pPr>
        <w:pStyle w:val="Heading3"/>
      </w:pPr>
      <w:r>
        <w:t xml:space="preserve">1. Introduction and Unit 6 Overview</w:t>
      </w:r>
    </w:p>
    <w:p>
      <w:pPr>
        <w:pStyle w:val="FirstParagraph"/>
      </w:pPr>
      <w:r>
        <w:t xml:space="preserve">The seminar opened with Professor Sonali Baidya welcoming students and setting the stage for this week’s focus:</w:t>
      </w:r>
      <w:r>
        <w:t xml:space="preserve"> </w:t>
      </w:r>
      <w:r>
        <w:rPr>
          <w:bCs/>
          <w:b/>
        </w:rPr>
        <w:t xml:space="preserve">visualization of machine learning results</w:t>
      </w:r>
      <w:r>
        <w:t xml:space="preserve">. She explained that in previous weeks we had been applying models (such as the SVM from Unit 5), and this week we would shift toward visualizing and interpreting how those models perform. The key takeaway she emphasized up front was that the goal is not just to create charts, but to</w:t>
      </w:r>
      <w:r>
        <w:t xml:space="preserve"> </w:t>
      </w:r>
      <w:r>
        <w:rPr>
          <w:bCs/>
          <w:b/>
        </w:rPr>
        <w:t xml:space="preserve">explain what they tell us about the model’s performance</w:t>
      </w:r>
      <w:r>
        <w:t xml:space="preserve">.</w:t>
      </w:r>
    </w:p>
    <w:p>
      <w:pPr>
        <w:pStyle w:val="BodyText"/>
      </w:pPr>
      <w:r>
        <w:t xml:space="preserve">She also reminded us about the weekly logistics — completing the reading material, participating in the discussion post, and submitting the seminar alternative assignment to the correct (Seminar) Dropbox, not the Assignment Dropbox.</w:t>
      </w:r>
    </w:p>
    <w:p>
      <w:r>
        <w:pict>
          <v:rect style="width:0;height:1.5pt" o:hralign="center" o:hrstd="t" o:hr="t"/>
        </w:pict>
      </w:r>
    </w:p>
    <w:bookmarkEnd w:id="21"/>
    <w:bookmarkStart w:id="22" w:name="matplotlib-architecture"/>
    <w:p>
      <w:pPr>
        <w:pStyle w:val="Heading3"/>
      </w:pPr>
      <w:r>
        <w:t xml:space="preserve">2. Matplotlib Architecture</w:t>
      </w:r>
    </w:p>
    <w:p>
      <w:pPr>
        <w:pStyle w:val="FirstParagraph"/>
      </w:pPr>
      <w:r>
        <w:t xml:space="preserve">Professor Baidya introduced the</w:t>
      </w:r>
      <w:r>
        <w:t xml:space="preserve"> </w:t>
      </w:r>
      <w:r>
        <w:rPr>
          <w:bCs/>
          <w:b/>
        </w:rPr>
        <w:t xml:space="preserve">Matplotlib library</w:t>
      </w:r>
      <w:r>
        <w:t xml:space="preserve">, which is the primary visualization tool used in this unit’s Python code. She described its</w:t>
      </w:r>
      <w:r>
        <w:t xml:space="preserve"> </w:t>
      </w:r>
      <w:r>
        <w:rPr>
          <w:bCs/>
          <w:b/>
        </w:rPr>
        <w:t xml:space="preserve">three-layer architecture</w:t>
      </w:r>
      <w:r>
        <w:t xml:space="preserve">:</w:t>
      </w:r>
    </w:p>
    <w:p>
      <w:pPr>
        <w:numPr>
          <w:ilvl w:val="0"/>
          <w:numId w:val="1001"/>
        </w:numPr>
      </w:pPr>
      <w:r>
        <w:rPr>
          <w:bCs/>
          <w:b/>
        </w:rPr>
        <w:t xml:space="preserve">Backend Layer</w:t>
      </w:r>
      <w:r>
        <w:t xml:space="preserve"> </w:t>
      </w:r>
      <w:r>
        <w:t xml:space="preserve">– Acts like a</w:t>
      </w:r>
      <w:r>
        <w:t xml:space="preserve"> </w:t>
      </w:r>
      <w:r>
        <w:t xml:space="preserve">“</w:t>
      </w:r>
      <w:r>
        <w:t xml:space="preserve">printer.</w:t>
      </w:r>
      <w:r>
        <w:t xml:space="preserve">”</w:t>
      </w:r>
      <w:r>
        <w:t xml:space="preserve"> </w:t>
      </w:r>
      <w:r>
        <w:t xml:space="preserve">When we call</w:t>
      </w:r>
      <w:r>
        <w:t xml:space="preserve"> </w:t>
      </w:r>
      <w:r>
        <w:rPr>
          <w:rStyle w:val="VerbatimChar"/>
        </w:rPr>
        <w:t xml:space="preserve">plt.show()</w:t>
      </w:r>
      <w:r>
        <w:t xml:space="preserve">, the backend layer takes everything that has been constructed and renders it on screen. It handles the actual display of the figure.</w:t>
      </w:r>
    </w:p>
    <w:p>
      <w:pPr>
        <w:numPr>
          <w:ilvl w:val="0"/>
          <w:numId w:val="1001"/>
        </w:numPr>
      </w:pPr>
      <w:r>
        <w:rPr>
          <w:bCs/>
          <w:b/>
        </w:rPr>
        <w:t xml:space="preserve">Artist Layer</w:t>
      </w:r>
      <w:r>
        <w:t xml:space="preserve"> </w:t>
      </w:r>
      <w:r>
        <w:t xml:space="preserve">– Responsible for every visual object we see on the chart — lines, titles, tick marks, circles, labels, and any other drawn element. Anything visible on the plot belongs to this layer.</w:t>
      </w:r>
    </w:p>
    <w:p>
      <w:pPr>
        <w:numPr>
          <w:ilvl w:val="0"/>
          <w:numId w:val="1001"/>
        </w:numPr>
      </w:pPr>
      <w:r>
        <w:rPr>
          <w:bCs/>
          <w:b/>
        </w:rPr>
        <w:t xml:space="preserve">Scripting Layer</w:t>
      </w:r>
      <w:r>
        <w:t xml:space="preserve"> </w:t>
      </w:r>
      <w:r>
        <w:t xml:space="preserve">– Contains the commands we write in our code, such as</w:t>
      </w:r>
      <w:r>
        <w:t xml:space="preserve"> </w:t>
      </w:r>
      <w:r>
        <w:rPr>
          <w:rStyle w:val="VerbatimChar"/>
        </w:rPr>
        <w:t xml:space="preserve">plt.show()</w:t>
      </w:r>
      <w:r>
        <w:t xml:space="preserve">,</w:t>
      </w:r>
      <w:r>
        <w:t xml:space="preserve"> </w:t>
      </w:r>
      <w:r>
        <w:rPr>
          <w:rStyle w:val="VerbatimChar"/>
        </w:rPr>
        <w:t xml:space="preserve">plt.title()</w:t>
      </w:r>
      <w:r>
        <w:t xml:space="preserve">,</w:t>
      </w:r>
      <w:r>
        <w:t xml:space="preserve"> </w:t>
      </w:r>
      <w:r>
        <w:rPr>
          <w:rStyle w:val="VerbatimChar"/>
        </w:rPr>
        <w:t xml:space="preserve">ax.set_xlabel()</w:t>
      </w:r>
      <w:r>
        <w:t xml:space="preserve">, etc. This is the layer we interact with directly as programmers.</w:t>
      </w:r>
    </w:p>
    <w:p>
      <w:pPr>
        <w:pStyle w:val="FirstParagraph"/>
      </w:pPr>
      <w:r>
        <w:t xml:space="preserve">She also explained the concepts of</w:t>
      </w:r>
      <w:r>
        <w:t xml:space="preserve"> </w:t>
      </w:r>
      <w:r>
        <w:rPr>
          <w:bCs/>
          <w:b/>
        </w:rPr>
        <w:t xml:space="preserve">Figure</w:t>
      </w:r>
      <w:r>
        <w:t xml:space="preserve"> </w:t>
      </w:r>
      <w:r>
        <w:t xml:space="preserve">and</w:t>
      </w:r>
      <w:r>
        <w:t xml:space="preserve"> </w:t>
      </w:r>
      <w:r>
        <w:rPr>
          <w:bCs/>
          <w:b/>
        </w:rPr>
        <w:t xml:space="preserve">Axes</w:t>
      </w:r>
      <w:r>
        <w:t xml:space="preserve">:</w:t>
      </w:r>
    </w:p>
    <w:p>
      <w:pPr>
        <w:numPr>
          <w:ilvl w:val="0"/>
          <w:numId w:val="1002"/>
        </w:numPr>
        <w:pStyle w:val="Compact"/>
      </w:pPr>
      <w:r>
        <w:t xml:space="preserve">A</w:t>
      </w:r>
      <w:r>
        <w:t xml:space="preserve"> </w:t>
      </w:r>
      <w:r>
        <w:rPr>
          <w:bCs/>
          <w:b/>
        </w:rPr>
        <w:t xml:space="preserve">Figure</w:t>
      </w:r>
      <w:r>
        <w:t xml:space="preserve"> </w:t>
      </w:r>
      <w:r>
        <w:t xml:space="preserve">is the entire canvas or page — the white sheet on which everything is drawn.</w:t>
      </w:r>
    </w:p>
    <w:p>
      <w:pPr>
        <w:numPr>
          <w:ilvl w:val="0"/>
          <w:numId w:val="1002"/>
        </w:numPr>
        <w:pStyle w:val="Compact"/>
      </w:pPr>
      <w:r>
        <w:t xml:space="preserve">An</w:t>
      </w:r>
      <w:r>
        <w:t xml:space="preserve"> </w:t>
      </w:r>
      <w:r>
        <w:rPr>
          <w:bCs/>
          <w:b/>
        </w:rPr>
        <w:t xml:space="preserve">Axes</w:t>
      </w:r>
      <w:r>
        <w:t xml:space="preserve"> </w:t>
      </w:r>
      <w:r>
        <w:t xml:space="preserve">(or axis) is a single plot area within that figure. A figure can hold multiple axes (i.e., multiple charts on the same page).</w:t>
      </w:r>
    </w:p>
    <w:p>
      <w:r>
        <w:pict>
          <v:rect style="width:0;height:1.5pt" o:hralign="center" o:hrstd="t" o:hr="t"/>
        </w:pict>
      </w:r>
    </w:p>
    <w:bookmarkEnd w:id="22"/>
    <w:bookmarkStart w:id="23" w:name="pyplot-vs.-object-oriented-style"/>
    <w:p>
      <w:pPr>
        <w:pStyle w:val="Heading3"/>
      </w:pPr>
      <w:r>
        <w:t xml:space="preserve">3. PyPlot vs. Object-Oriented Style</w:t>
      </w:r>
    </w:p>
    <w:p>
      <w:pPr>
        <w:pStyle w:val="FirstParagraph"/>
      </w:pPr>
      <w:r>
        <w:t xml:space="preserve">The professor discussed two approaches used in the code:</w:t>
      </w:r>
    </w:p>
    <w:p>
      <w:pPr>
        <w:numPr>
          <w:ilvl w:val="0"/>
          <w:numId w:val="1003"/>
        </w:numPr>
      </w:pPr>
      <w:r>
        <w:rPr>
          <w:bCs/>
          <w:b/>
        </w:rPr>
        <w:t xml:space="preserve">PyPlot (State Machine Style):</w:t>
      </w:r>
      <w:r>
        <w:t xml:space="preserve"> </w:t>
      </w:r>
      <w:r>
        <w:t xml:space="preserve">PyPlot keeps track of which figure and which axis was last touched. Every</w:t>
      </w:r>
      <w:r>
        <w:t xml:space="preserve"> </w:t>
      </w:r>
      <w:r>
        <w:rPr>
          <w:rStyle w:val="VerbatimChar"/>
        </w:rPr>
        <w:t xml:space="preserve">plt</w:t>
      </w:r>
      <w:r>
        <w:t xml:space="preserve"> </w:t>
      </w:r>
      <w:r>
        <w:t xml:space="preserve">command applies to the</w:t>
      </w:r>
      <w:r>
        <w:t xml:space="preserve"> </w:t>
      </w:r>
      <w:r>
        <w:t xml:space="preserve">“</w:t>
      </w:r>
      <w:r>
        <w:t xml:space="preserve">current</w:t>
      </w:r>
      <w:r>
        <w:t xml:space="preserve">”</w:t>
      </w:r>
      <w:r>
        <w:t xml:space="preserve"> </w:t>
      </w:r>
      <w:r>
        <w:t xml:space="preserve">chart. This is convenient for quick, single charts, but can get confusing with multiple charts in one file. For example, there are multiple</w:t>
      </w:r>
      <w:r>
        <w:t xml:space="preserve"> </w:t>
      </w:r>
      <w:r>
        <w:rPr>
          <w:rStyle w:val="VerbatimChar"/>
        </w:rPr>
        <w:t xml:space="preserve">plt.show()</w:t>
      </w:r>
      <w:r>
        <w:t xml:space="preserve"> </w:t>
      </w:r>
      <w:r>
        <w:t xml:space="preserve">calls in the Unit 6 code, but each one applies only to the chart that was most recently constructed.</w:t>
      </w:r>
    </w:p>
    <w:p>
      <w:pPr>
        <w:numPr>
          <w:ilvl w:val="0"/>
          <w:numId w:val="1003"/>
        </w:numPr>
      </w:pPr>
      <w:r>
        <w:rPr>
          <w:bCs/>
          <w:b/>
        </w:rPr>
        <w:t xml:space="preserve">Object-Oriented Style:</w:t>
      </w:r>
      <w:r>
        <w:t xml:space="preserve"> </w:t>
      </w:r>
      <w:r>
        <w:t xml:space="preserve">When we use a variable like</w:t>
      </w:r>
      <w:r>
        <w:t xml:space="preserve"> </w:t>
      </w:r>
      <w:r>
        <w:rPr>
          <w:rStyle w:val="VerbatimChar"/>
        </w:rPr>
        <w:t xml:space="preserve">ax</w:t>
      </w:r>
      <w:r>
        <w:t xml:space="preserve">, we are directly referencing a specific plot area. For instance,</w:t>
      </w:r>
      <w:r>
        <w:t xml:space="preserve"> </w:t>
      </w:r>
      <w:r>
        <w:rPr>
          <w:rStyle w:val="VerbatimChar"/>
        </w:rPr>
        <w:t xml:space="preserve">ax = date_line.plot(...)</w:t>
      </w:r>
      <w:r>
        <w:t xml:space="preserve"> </w:t>
      </w:r>
      <w:r>
        <w:t xml:space="preserve">creates a chart and stores the reference in</w:t>
      </w:r>
      <w:r>
        <w:t xml:space="preserve"> </w:t>
      </w:r>
      <w:r>
        <w:rPr>
          <w:rStyle w:val="VerbatimChar"/>
        </w:rPr>
        <w:t xml:space="preserve">ax</w:t>
      </w:r>
      <w:r>
        <w:t xml:space="preserve">. Any further method call on</w:t>
      </w:r>
      <w:r>
        <w:t xml:space="preserve"> </w:t>
      </w:r>
      <w:r>
        <w:rPr>
          <w:rStyle w:val="VerbatimChar"/>
        </w:rPr>
        <w:t xml:space="preserve">ax</w:t>
      </w:r>
      <w:r>
        <w:t xml:space="preserve"> </w:t>
      </w:r>
      <w:r>
        <w:t xml:space="preserve">(like</w:t>
      </w:r>
      <w:r>
        <w:t xml:space="preserve"> </w:t>
      </w:r>
      <w:r>
        <w:rPr>
          <w:rStyle w:val="VerbatimChar"/>
        </w:rPr>
        <w:t xml:space="preserve">ax.set_xlabel()</w:t>
      </w:r>
      <w:r>
        <w:t xml:space="preserve">) targets that specific chart, regardless of how many other charts exist. This is the object-oriented approach and is more explicit.</w:t>
      </w:r>
    </w:p>
    <w:p>
      <w:pPr>
        <w:pStyle w:val="FirstParagraph"/>
      </w:pPr>
      <w:r>
        <w:t xml:space="preserve">The Unit 6 code uses a</w:t>
      </w:r>
      <w:r>
        <w:t xml:space="preserve"> </w:t>
      </w:r>
      <w:r>
        <w:rPr>
          <w:bCs/>
          <w:b/>
        </w:rPr>
        <w:t xml:space="preserve">combination of both styles</w:t>
      </w:r>
      <w:r>
        <w:t xml:space="preserve">, and Professor Baidya pointed out that wherever we see</w:t>
      </w:r>
      <w:r>
        <w:t xml:space="preserve"> </w:t>
      </w:r>
      <w:r>
        <w:rPr>
          <w:rStyle w:val="VerbatimChar"/>
        </w:rPr>
        <w:t xml:space="preserve">plt</w:t>
      </w:r>
      <w:r>
        <w:t xml:space="preserve"> </w:t>
      </w:r>
      <w:r>
        <w:t xml:space="preserve">it is the PyPlot state-machine style, and wherever we see</w:t>
      </w:r>
      <w:r>
        <w:t xml:space="preserve"> </w:t>
      </w:r>
      <w:r>
        <w:rPr>
          <w:rStyle w:val="VerbatimChar"/>
        </w:rPr>
        <w:t xml:space="preserve">ax</w:t>
      </w:r>
      <w:r>
        <w:t xml:space="preserve"> </w:t>
      </w:r>
      <w:r>
        <w:t xml:space="preserve">it is the object-oriented style.</w:t>
      </w:r>
    </w:p>
    <w:p>
      <w:pPr>
        <w:pStyle w:val="BodyText"/>
      </w:pPr>
      <w:r>
        <w:t xml:space="preserve">She also briefly mentioned the historical context: PyPlot originated from</w:t>
      </w:r>
      <w:r>
        <w:t xml:space="preserve"> </w:t>
      </w:r>
      <w:r>
        <w:rPr>
          <w:bCs/>
          <w:b/>
        </w:rPr>
        <w:t xml:space="preserve">PyLab</w:t>
      </w:r>
      <w:r>
        <w:t xml:space="preserve">, a package in MATLAB that bundled both PyPlot and NumPy together. We no longer use PyLab; we import PyPlot directly.</w:t>
      </w:r>
    </w:p>
    <w:p>
      <w:r>
        <w:pict>
          <v:rect style="width:0;height:1.5pt" o:hralign="center" o:hrstd="t" o:hr="t"/>
        </w:pict>
      </w:r>
    </w:p>
    <w:bookmarkEnd w:id="23"/>
    <w:bookmarkStart w:id="24" w:name="Xf53335ecbe81e1441108671a13f1253472d0b7b"/>
    <w:p>
      <w:pPr>
        <w:pStyle w:val="Heading3"/>
      </w:pPr>
      <w:r>
        <w:t xml:space="preserve">4. Line Charts — Count by Time and Numbers over Time</w:t>
      </w:r>
    </w:p>
    <w:p>
      <w:pPr>
        <w:pStyle w:val="FirstParagraph"/>
      </w:pPr>
      <w:r>
        <w:t xml:space="preserve">The first visualizations generated from the code were</w:t>
      </w:r>
      <w:r>
        <w:t xml:space="preserve"> </w:t>
      </w:r>
      <w:r>
        <w:rPr>
          <w:bCs/>
          <w:b/>
        </w:rPr>
        <w:t xml:space="preserve">line charts</w:t>
      </w:r>
      <w:r>
        <w:t xml:space="preserve">:</w:t>
      </w:r>
    </w:p>
    <w:p>
      <w:pPr>
        <w:numPr>
          <w:ilvl w:val="0"/>
          <w:numId w:val="1004"/>
        </w:numPr>
      </w:pPr>
      <w:r>
        <w:rPr>
          <w:bCs/>
          <w:b/>
        </w:rPr>
        <w:t xml:space="preserve">Count by Time:</w:t>
      </w:r>
      <w:r>
        <w:t xml:space="preserve"> </w:t>
      </w:r>
      <w:r>
        <w:t xml:space="preserve">This chart plots the frequency count of records for each date in the dataset (</w:t>
      </w:r>
      <w:r>
        <w:rPr>
          <w:rStyle w:val="VerbatimChar"/>
        </w:rPr>
        <w:t xml:space="preserve">IN404_Unit5and6_1.csv</w:t>
      </w:r>
      <w:r>
        <w:t xml:space="preserve">). The x-axis shows dates (2/4/20, 2/5/20, 2/6/20) and the y-axis shows frequency. A line chart is appropriate here because the order along the bottom axis (dates) represents a</w:t>
      </w:r>
      <w:r>
        <w:t xml:space="preserve"> </w:t>
      </w:r>
      <w:r>
        <w:rPr>
          <w:bCs/>
          <w:b/>
        </w:rPr>
        <w:t xml:space="preserve">time series</w:t>
      </w:r>
      <w:r>
        <w:t xml:space="preserve"> </w:t>
      </w:r>
      <w:r>
        <w:t xml:space="preserve">— there is a meaningful path from one point to the next.</w:t>
      </w:r>
    </w:p>
    <w:p>
      <w:pPr>
        <w:numPr>
          <w:ilvl w:val="0"/>
          <w:numId w:val="1004"/>
        </w:numPr>
      </w:pPr>
      <w:r>
        <w:rPr>
          <w:bCs/>
          <w:b/>
        </w:rPr>
        <w:t xml:space="preserve">Numbers over Time:</w:t>
      </w:r>
      <w:r>
        <w:t xml:space="preserve"> </w:t>
      </w:r>
      <w:r>
        <w:t xml:space="preserve">This chart groups the data by both</w:t>
      </w:r>
      <w:r>
        <w:t xml:space="preserve"> </w:t>
      </w:r>
      <w:r>
        <w:rPr>
          <w:rStyle w:val="VerbatimChar"/>
        </w:rPr>
        <w:t xml:space="preserve">Date</w:t>
      </w:r>
      <w:r>
        <w:t xml:space="preserve"> </w:t>
      </w:r>
      <w:r>
        <w:t xml:space="preserve">and</w:t>
      </w:r>
      <w:r>
        <w:t xml:space="preserve"> </w:t>
      </w:r>
      <w:r>
        <w:rPr>
          <w:rStyle w:val="VerbatimChar"/>
        </w:rPr>
        <w:t xml:space="preserve">Number1</w:t>
      </w:r>
      <w:r>
        <w:t xml:space="preserve">, producing a combination on the x-axis. Since there are 3 dates and 3 number classes (1, 2, 3), there are</w:t>
      </w:r>
      <w:r>
        <w:t xml:space="preserve"> </w:t>
      </w:r>
      <w:r>
        <w:rPr>
          <w:bCs/>
          <w:b/>
        </w:rPr>
        <w:t xml:space="preserve">9 positions</w:t>
      </w:r>
      <w:r>
        <w:t xml:space="preserve"> </w:t>
      </w:r>
      <w:r>
        <w:t xml:space="preserve">on the x-axis (each date paired with each number). The professor pointed out that assignment questions 6 asks us to identify which date–number combination has the</w:t>
      </w:r>
      <w:r>
        <w:t xml:space="preserve"> </w:t>
      </w:r>
      <w:r>
        <w:rPr>
          <w:bCs/>
          <w:b/>
        </w:rPr>
        <w:t xml:space="preserve">highest frequency</w:t>
      </w:r>
      <w:r>
        <w:t xml:space="preserve"> </w:t>
      </w:r>
      <w:r>
        <w:t xml:space="preserve">and which has the</w:t>
      </w:r>
      <w:r>
        <w:t xml:space="preserve"> </w:t>
      </w:r>
      <w:r>
        <w:rPr>
          <w:bCs/>
          <w:b/>
        </w:rPr>
        <w:t xml:space="preserve">lowest frequency</w:t>
      </w:r>
      <w:r>
        <w:t xml:space="preserve"> </w:t>
      </w:r>
      <w:r>
        <w:t xml:space="preserve">from this chart, along with approximate frequency values.</w:t>
      </w:r>
    </w:p>
    <w:p>
      <w:r>
        <w:pict>
          <v:rect style="width:0;height:1.5pt" o:hralign="center" o:hrstd="t" o:hr="t"/>
        </w:pict>
      </w:r>
    </w:p>
    <w:bookmarkEnd w:id="24"/>
    <w:bookmarkStart w:id="25" w:name="bar-chart-frequency-of-numbers"/>
    <w:p>
      <w:pPr>
        <w:pStyle w:val="Heading3"/>
      </w:pPr>
      <w:r>
        <w:t xml:space="preserve">5. Bar Chart — Frequency of Numbers</w:t>
      </w:r>
    </w:p>
    <w:p>
      <w:pPr>
        <w:pStyle w:val="FirstParagraph"/>
      </w:pPr>
      <w:r>
        <w:t xml:space="preserve">The next visualization was a</w:t>
      </w:r>
      <w:r>
        <w:t xml:space="preserve"> </w:t>
      </w:r>
      <w:r>
        <w:rPr>
          <w:bCs/>
          <w:b/>
        </w:rPr>
        <w:t xml:space="preserve">bar chart</w:t>
      </w:r>
      <w:r>
        <w:t xml:space="preserve"> </w:t>
      </w:r>
      <w:r>
        <w:t xml:space="preserve">showing the count of each value in the</w:t>
      </w:r>
      <w:r>
        <w:t xml:space="preserve"> </w:t>
      </w:r>
      <w:r>
        <w:rPr>
          <w:rStyle w:val="VerbatimChar"/>
        </w:rPr>
        <w:t xml:space="preserve">Number1</w:t>
      </w:r>
      <w:r>
        <w:t xml:space="preserve"> </w:t>
      </w:r>
      <w:r>
        <w:t xml:space="preserve">column. The professor highlighted an important detail: the bars are ordered by</w:t>
      </w:r>
      <w:r>
        <w:t xml:space="preserve"> </w:t>
      </w:r>
      <w:r>
        <w:rPr>
          <w:bCs/>
          <w:b/>
        </w:rPr>
        <w:t xml:space="preserve">descending frequency</w:t>
      </w:r>
      <w:r>
        <w:t xml:space="preserve">, not numerically. So the x-axis may show 1, 3, 2 (not 1, 2, 3) because pandas’</w:t>
      </w:r>
      <w:r>
        <w:t xml:space="preserve"> </w:t>
      </w:r>
      <w:r>
        <w:rPr>
          <w:rStyle w:val="VerbatimChar"/>
        </w:rPr>
        <w:t xml:space="preserve">value_counts()</w:t>
      </w:r>
      <w:r>
        <w:t xml:space="preserve"> </w:t>
      </w:r>
      <w:r>
        <w:t xml:space="preserve">sorts by count. Assignment question 7 asks us to identify which number has the</w:t>
      </w:r>
      <w:r>
        <w:t xml:space="preserve"> </w:t>
      </w:r>
      <w:r>
        <w:rPr>
          <w:bCs/>
          <w:b/>
        </w:rPr>
        <w:t xml:space="preserve">lowest frequency</w:t>
      </w:r>
      <w:r>
        <w:t xml:space="preserve"> </w:t>
      </w:r>
      <w:r>
        <w:t xml:space="preserve">from this bar chart.</w:t>
      </w:r>
    </w:p>
    <w:p>
      <w:pPr>
        <w:pStyle w:val="BodyText"/>
      </w:pPr>
      <w:r>
        <w:t xml:space="preserve">She also noted that the code uses</w:t>
      </w:r>
      <w:r>
        <w:t xml:space="preserve"> </w:t>
      </w:r>
      <w:r>
        <w:rPr>
          <w:bCs/>
          <w:b/>
        </w:rPr>
        <w:t xml:space="preserve">pandas</w:t>
      </w:r>
      <w:r>
        <w:t xml:space="preserve"> </w:t>
      </w:r>
      <w:r>
        <w:t xml:space="preserve">to compute the value counts before plotting, and reminded us about the date-to-datetime conversion done using</w:t>
      </w:r>
      <w:r>
        <w:t xml:space="preserve"> </w:t>
      </w:r>
      <w:r>
        <w:rPr>
          <w:rStyle w:val="VerbatimChar"/>
        </w:rPr>
        <w:t xml:space="preserve">pd.to_datetime()</w:t>
      </w:r>
      <w:r>
        <w:t xml:space="preserve"> </w:t>
      </w:r>
      <w:r>
        <w:t xml:space="preserve">and the numeric conversion using</w:t>
      </w:r>
      <w:r>
        <w:t xml:space="preserve"> </w:t>
      </w:r>
      <w:r>
        <w:rPr>
          <w:rStyle w:val="VerbatimChar"/>
        </w:rPr>
        <w:t xml:space="preserve">np.timedelta64</w:t>
      </w:r>
      <w:r>
        <w:t xml:space="preserve">.</w:t>
      </w:r>
    </w:p>
    <w:p>
      <w:r>
        <w:pict>
          <v:rect style="width:0;height:1.5pt" o:hralign="center" o:hrstd="t" o:hr="t"/>
        </w:pict>
      </w:r>
    </w:p>
    <w:bookmarkEnd w:id="25"/>
    <w:bookmarkStart w:id="26" w:name="confusion-matrix"/>
    <w:p>
      <w:pPr>
        <w:pStyle w:val="Heading3"/>
      </w:pPr>
      <w:r>
        <w:t xml:space="preserve">6. Confusion Matrix</w:t>
      </w:r>
    </w:p>
    <w:p>
      <w:pPr>
        <w:pStyle w:val="FirstParagraph"/>
      </w:pPr>
      <w:r>
        <w:t xml:space="preserve">This was a major topic. Professor Baidya explained the confusion matrix in detail:</w:t>
      </w:r>
    </w:p>
    <w:p>
      <w:pPr>
        <w:numPr>
          <w:ilvl w:val="0"/>
          <w:numId w:val="1005"/>
        </w:numPr>
      </w:pPr>
      <w:r>
        <w:rPr>
          <w:bCs/>
          <w:b/>
        </w:rPr>
        <w:t xml:space="preserve">Structure:</w:t>
      </w:r>
      <w:r>
        <w:t xml:space="preserve"> </w:t>
      </w:r>
      <w:r>
        <w:t xml:space="preserve">The rows represent the</w:t>
      </w:r>
      <w:r>
        <w:t xml:space="preserve"> </w:t>
      </w:r>
      <w:r>
        <w:rPr>
          <w:bCs/>
          <w:b/>
        </w:rPr>
        <w:t xml:space="preserve">true (actual) labels</w:t>
      </w:r>
      <w:r>
        <w:t xml:space="preserve">, and the columns represent the</w:t>
      </w:r>
      <w:r>
        <w:t xml:space="preserve"> </w:t>
      </w:r>
      <w:r>
        <w:rPr>
          <w:bCs/>
          <w:b/>
        </w:rPr>
        <w:t xml:space="preserve">predicted labels</w:t>
      </w:r>
      <w:r>
        <w:t xml:space="preserve"> </w:t>
      </w:r>
      <w:r>
        <w:t xml:space="preserve">(the model’s guesses). Each cell at row</w:t>
      </w:r>
      <w:r>
        <w:t xml:space="preserve"> </w:t>
      </w:r>
      <w:r>
        <w:rPr>
          <w:iCs/>
          <w:i/>
        </w:rPr>
        <w:t xml:space="preserve">i</w:t>
      </w:r>
      <w:r>
        <w:t xml:space="preserve">, column</w:t>
      </w:r>
      <w:r>
        <w:t xml:space="preserve"> </w:t>
      </w:r>
      <w:r>
        <w:rPr>
          <w:iCs/>
          <w:i/>
        </w:rPr>
        <w:t xml:space="preserve">j</w:t>
      </w:r>
      <w:r>
        <w:t xml:space="preserve"> </w:t>
      </w:r>
      <w:r>
        <w:t xml:space="preserve">holds the count of cases that truly belonged to class</w:t>
      </w:r>
      <w:r>
        <w:t xml:space="preserve"> </w:t>
      </w:r>
      <w:r>
        <w:rPr>
          <w:iCs/>
          <w:i/>
        </w:rPr>
        <w:t xml:space="preserve">i</w:t>
      </w:r>
      <w:r>
        <w:t xml:space="preserve"> </w:t>
      </w:r>
      <w:r>
        <w:t xml:space="preserve">but were classified as class</w:t>
      </w:r>
      <w:r>
        <w:t xml:space="preserve"> </w:t>
      </w:r>
      <w:r>
        <w:rPr>
          <w:iCs/>
          <w:i/>
        </w:rPr>
        <w:t xml:space="preserve">j</w:t>
      </w:r>
      <w:r>
        <w:t xml:space="preserve">.</w:t>
      </w:r>
    </w:p>
    <w:p>
      <w:pPr>
        <w:numPr>
          <w:ilvl w:val="0"/>
          <w:numId w:val="1005"/>
        </w:numPr>
      </w:pPr>
      <w:r>
        <w:rPr>
          <w:bCs/>
          <w:b/>
        </w:rPr>
        <w:t xml:space="preserve">Diagonal = Correct Predictions:</w:t>
      </w:r>
      <w:r>
        <w:t xml:space="preserve"> </w:t>
      </w:r>
      <w:r>
        <w:t xml:space="preserve">The diagonal cells (where row index equals column index) represent cases where the model’s prediction agreed with the truth. Everything off the diagonal represents</w:t>
      </w:r>
      <w:r>
        <w:t xml:space="preserve"> </w:t>
      </w:r>
      <w:r>
        <w:rPr>
          <w:bCs/>
          <w:b/>
        </w:rPr>
        <w:t xml:space="preserve">mistakes</w:t>
      </w:r>
      <w:r>
        <w:t xml:space="preserve">.</w:t>
      </w:r>
    </w:p>
    <w:p>
      <w:pPr>
        <w:numPr>
          <w:ilvl w:val="0"/>
          <w:numId w:val="1005"/>
        </w:numPr>
      </w:pPr>
      <w:r>
        <w:rPr>
          <w:bCs/>
          <w:b/>
        </w:rPr>
        <w:t xml:space="preserve">Medical Analogy:</w:t>
      </w:r>
      <w:r>
        <w:t xml:space="preserve"> </w:t>
      </w:r>
      <w:r>
        <w:t xml:space="preserve">She gave a relatable example — if this were a medical test, off-diagonal cells in one direction would be</w:t>
      </w:r>
      <w:r>
        <w:t xml:space="preserve"> </w:t>
      </w:r>
      <w:r>
        <w:t xml:space="preserve">“</w:t>
      </w:r>
      <w:r>
        <w:t xml:space="preserve">missed diagnoses</w:t>
      </w:r>
      <w:r>
        <w:t xml:space="preserve">”</w:t>
      </w:r>
      <w:r>
        <w:t xml:space="preserve"> </w:t>
      </w:r>
      <w:r>
        <w:t xml:space="preserve">(false negatives) and in the other direction would be</w:t>
      </w:r>
      <w:r>
        <w:t xml:space="preserve"> </w:t>
      </w:r>
      <w:r>
        <w:t xml:space="preserve">“</w:t>
      </w:r>
      <w:r>
        <w:t xml:space="preserve">false alarms</w:t>
      </w:r>
      <w:r>
        <w:t xml:space="preserve">”</w:t>
      </w:r>
      <w:r>
        <w:t xml:space="preserve"> </w:t>
      </w:r>
      <w:r>
        <w:t xml:space="preserve">(false positives).</w:t>
      </w:r>
    </w:p>
    <w:p>
      <w:pPr>
        <w:numPr>
          <w:ilvl w:val="0"/>
          <w:numId w:val="1005"/>
        </w:numPr>
      </w:pPr>
      <w:r>
        <w:rPr>
          <w:bCs/>
          <w:b/>
        </w:rPr>
        <w:t xml:space="preserve">Reading the Output:</w:t>
      </w:r>
      <w:r>
        <w:t xml:space="preserve"> </w:t>
      </w:r>
      <w:r>
        <w:t xml:space="preserve">For our SVM model with 3 classes and 250 test rows, the diagonal values were approximately</w:t>
      </w:r>
      <w:r>
        <w:t xml:space="preserve"> </w:t>
      </w:r>
      <w:r>
        <w:rPr>
          <w:bCs/>
          <w:b/>
        </w:rPr>
        <w:t xml:space="preserve">21, 22, and 39</w:t>
      </w:r>
      <w:r>
        <w:t xml:space="preserve"> </w:t>
      </w:r>
      <w:r>
        <w:t xml:space="preserve">(totaling ~82 correct predictions). The accuracy score is computed as 82 ÷ 250 ≈</w:t>
      </w:r>
      <w:r>
        <w:t xml:space="preserve"> </w:t>
      </w:r>
      <w:r>
        <w:rPr>
          <w:bCs/>
          <w:b/>
        </w:rPr>
        <w:t xml:space="preserve">0.328</w:t>
      </w:r>
      <w:r>
        <w:t xml:space="preserve">. The professor had students verify this math to confirm the confusion matrix was reporting correctly.</w:t>
      </w:r>
    </w:p>
    <w:p>
      <w:pPr>
        <w:numPr>
          <w:ilvl w:val="0"/>
          <w:numId w:val="1005"/>
        </w:numPr>
      </w:pPr>
      <w:r>
        <w:rPr>
          <w:bCs/>
          <w:b/>
        </w:rPr>
        <w:t xml:space="preserve">Visualization:</w:t>
      </w:r>
      <w:r>
        <w:t xml:space="preserve"> </w:t>
      </w:r>
      <w:r>
        <w:t xml:space="preserve">The confusion matrix is plotted using</w:t>
      </w:r>
      <w:r>
        <w:t xml:space="preserve"> </w:t>
      </w:r>
      <w:r>
        <w:rPr>
          <w:rStyle w:val="VerbatimChar"/>
        </w:rPr>
        <w:t xml:space="preserve">plt.matshow(cm)</w:t>
      </w:r>
      <w:r>
        <w:t xml:space="preserve"> </w:t>
      </w:r>
      <w:r>
        <w:t xml:space="preserve">with a color bar, making it easy to see at a glance which cells have higher or lower counts.</w:t>
      </w:r>
    </w:p>
    <w:p>
      <w:r>
        <w:pict>
          <v:rect style="width:0;height:1.5pt" o:hralign="center" o:hrstd="t" o:hr="t"/>
        </w:pict>
      </w:r>
    </w:p>
    <w:bookmarkEnd w:id="26"/>
    <w:bookmarkStart w:id="27" w:name="classification-report-and-heatmap"/>
    <w:p>
      <w:pPr>
        <w:pStyle w:val="Heading3"/>
      </w:pPr>
      <w:r>
        <w:t xml:space="preserve">7. Classification Report and Heatmap</w:t>
      </w:r>
    </w:p>
    <w:p>
      <w:pPr>
        <w:pStyle w:val="FirstParagraph"/>
      </w:pPr>
      <w:r>
        <w:t xml:space="preserve">The professor then introduced the</w:t>
      </w:r>
      <w:r>
        <w:t xml:space="preserve"> </w:t>
      </w:r>
      <w:r>
        <w:rPr>
          <w:bCs/>
          <w:b/>
        </w:rPr>
        <w:t xml:space="preserve">classification report</w:t>
      </w:r>
      <w:r>
        <w:t xml:space="preserve">, which provides four key metrics for each class:</w:t>
      </w:r>
    </w:p>
    <w:p>
      <w:pPr>
        <w:numPr>
          <w:ilvl w:val="0"/>
          <w:numId w:val="1006"/>
        </w:numPr>
      </w:pPr>
      <w:r>
        <w:rPr>
          <w:bCs/>
          <w:b/>
        </w:rPr>
        <w:t xml:space="preserve">Precision:</w:t>
      </w:r>
      <w:r>
        <w:t xml:space="preserve"> </w:t>
      </w:r>
      <w:r>
        <w:t xml:space="preserve">“</w:t>
      </w:r>
      <w:r>
        <w:t xml:space="preserve">When the model said class</w:t>
      </w:r>
      <w:r>
        <w:t xml:space="preserve"> </w:t>
      </w:r>
      <w:r>
        <w:rPr>
          <w:iCs/>
          <w:i/>
        </w:rPr>
        <w:t xml:space="preserve">k</w:t>
      </w:r>
      <w:r>
        <w:t xml:space="preserve">, was it right?</w:t>
      </w:r>
      <w:r>
        <w:t xml:space="preserve">”</w:t>
      </w:r>
      <w:r>
        <w:t xml:space="preserve"> </w:t>
      </w:r>
      <w:r>
        <w:t xml:space="preserve">Calculated by going</w:t>
      </w:r>
      <w:r>
        <w:t xml:space="preserve"> </w:t>
      </w:r>
      <w:r>
        <w:rPr>
          <w:bCs/>
          <w:b/>
        </w:rPr>
        <w:t xml:space="preserve">down a column</w:t>
      </w:r>
      <w:r>
        <w:t xml:space="preserve"> </w:t>
      </w:r>
      <w:r>
        <w:t xml:space="preserve">in the confusion matrix. For Class 3: the column totals 40 + 55 + 39 = 134, and only 39 were correct, so precision = 39 / 134. Precision tells us whether the model is</w:t>
      </w:r>
      <w:r>
        <w:t xml:space="preserve"> </w:t>
      </w:r>
      <w:r>
        <w:rPr>
          <w:bCs/>
          <w:b/>
        </w:rPr>
        <w:t xml:space="preserve">overusing a label</w:t>
      </w:r>
      <w:r>
        <w:t xml:space="preserve">.</w:t>
      </w:r>
    </w:p>
    <w:p>
      <w:pPr>
        <w:numPr>
          <w:ilvl w:val="0"/>
          <w:numId w:val="1006"/>
        </w:numPr>
      </w:pPr>
      <w:r>
        <w:rPr>
          <w:bCs/>
          <w:b/>
        </w:rPr>
        <w:t xml:space="preserve">Recall:</w:t>
      </w:r>
      <w:r>
        <w:t xml:space="preserve"> </w:t>
      </w:r>
      <w:r>
        <w:t xml:space="preserve">“</w:t>
      </w:r>
      <w:r>
        <w:t xml:space="preserve">Of the real class</w:t>
      </w:r>
      <w:r>
        <w:t xml:space="preserve"> </w:t>
      </w:r>
      <w:r>
        <w:rPr>
          <w:iCs/>
          <w:i/>
        </w:rPr>
        <w:t xml:space="preserve">k</w:t>
      </w:r>
      <w:r>
        <w:t xml:space="preserve"> </w:t>
      </w:r>
      <w:r>
        <w:t xml:space="preserve">samples, how many did the model find?</w:t>
      </w:r>
      <w:r>
        <w:t xml:space="preserve">”</w:t>
      </w:r>
      <w:r>
        <w:t xml:space="preserve"> </w:t>
      </w:r>
      <w:r>
        <w:t xml:space="preserve">Calculated by going</w:t>
      </w:r>
      <w:r>
        <w:t xml:space="preserve"> </w:t>
      </w:r>
      <w:r>
        <w:rPr>
          <w:bCs/>
          <w:b/>
        </w:rPr>
        <w:t xml:space="preserve">across a row</w:t>
      </w:r>
      <w:r>
        <w:t xml:space="preserve">. For Class 3: the row totals 21 + 13 + 39 = 73, and 39 were found, so recall = 39 / 73. Recall tells us how many true positives the model actually caught.</w:t>
      </w:r>
    </w:p>
    <w:p>
      <w:pPr>
        <w:numPr>
          <w:ilvl w:val="0"/>
          <w:numId w:val="1006"/>
        </w:numPr>
      </w:pPr>
      <w:r>
        <w:rPr>
          <w:bCs/>
          <w:b/>
        </w:rPr>
        <w:t xml:space="preserve">F1-Score:</w:t>
      </w:r>
      <w:r>
        <w:t xml:space="preserve"> </w:t>
      </w:r>
      <w:r>
        <w:t xml:space="preserve">A single blended score that combines precision and recall without favoring either one. The professor explained that if we were to argue between precision and recall, we might get biased toward one. F1 is an</w:t>
      </w:r>
      <w:r>
        <w:t xml:space="preserve"> </w:t>
      </w:r>
      <w:r>
        <w:rPr>
          <w:bCs/>
          <w:b/>
        </w:rPr>
        <w:t xml:space="preserve">unbiased harmonic mean</w:t>
      </w:r>
      <w:r>
        <w:t xml:space="preserve"> </w:t>
      </w:r>
      <w:r>
        <w:t xml:space="preserve">of the two, providing one balanced number for model quality per class.</w:t>
      </w:r>
    </w:p>
    <w:p>
      <w:pPr>
        <w:numPr>
          <w:ilvl w:val="0"/>
          <w:numId w:val="1006"/>
        </w:numPr>
      </w:pPr>
      <w:r>
        <w:rPr>
          <w:bCs/>
          <w:b/>
        </w:rPr>
        <w:t xml:space="preserve">Support:</w:t>
      </w:r>
      <w:r>
        <w:t xml:space="preserve"> </w:t>
      </w:r>
      <w:r>
        <w:t xml:space="preserve">Simply the</w:t>
      </w:r>
      <w:r>
        <w:t xml:space="preserve"> </w:t>
      </w:r>
      <w:r>
        <w:rPr>
          <w:bCs/>
          <w:b/>
        </w:rPr>
        <w:t xml:space="preserve">headcount</w:t>
      </w:r>
      <w:r>
        <w:t xml:space="preserve"> </w:t>
      </w:r>
      <w:r>
        <w:t xml:space="preserve">— how many test rows truly belonged to each class. It is not a score but a count, and it appears in the printed dictionary but is excluded from the heatmap visualization.</w:t>
      </w:r>
    </w:p>
    <w:p>
      <w:pPr>
        <w:pStyle w:val="FirstParagraph"/>
      </w:pPr>
      <w:r>
        <w:t xml:space="preserve">The</w:t>
      </w:r>
      <w:r>
        <w:t xml:space="preserve"> </w:t>
      </w:r>
      <w:r>
        <w:rPr>
          <w:bCs/>
          <w:b/>
        </w:rPr>
        <w:t xml:space="preserve">heatmap</w:t>
      </w:r>
      <w:r>
        <w:t xml:space="preserve"> </w:t>
      </w:r>
      <w:r>
        <w:t xml:space="preserve">(generated using Seaborn’s</w:t>
      </w:r>
      <w:r>
        <w:t xml:space="preserve"> </w:t>
      </w:r>
      <w:r>
        <w:rPr>
          <w:rStyle w:val="VerbatimChar"/>
        </w:rPr>
        <w:t xml:space="preserve">sns.heatmap()</w:t>
      </w:r>
      <w:r>
        <w:t xml:space="preserve">) displays precision, recall, and F1-score for all three classes as a color grid with annotations. The professor explained:</w:t>
      </w:r>
    </w:p>
    <w:p>
      <w:pPr>
        <w:numPr>
          <w:ilvl w:val="0"/>
          <w:numId w:val="1007"/>
        </w:numPr>
        <w:pStyle w:val="Compact"/>
      </w:pPr>
      <w:r>
        <w:rPr>
          <w:rStyle w:val="VerbatimChar"/>
        </w:rPr>
        <w:t xml:space="preserve">pd.DataFrame(cr)</w:t>
      </w:r>
      <w:r>
        <w:t xml:space="preserve"> </w:t>
      </w:r>
      <w:r>
        <w:t xml:space="preserve">turns the classification report dictionary into a table.</w:t>
      </w:r>
    </w:p>
    <w:p>
      <w:pPr>
        <w:numPr>
          <w:ilvl w:val="0"/>
          <w:numId w:val="1007"/>
        </w:numPr>
        <w:pStyle w:val="Compact"/>
      </w:pPr>
      <w:r>
        <w:rPr>
          <w:rStyle w:val="VerbatimChar"/>
        </w:rPr>
        <w:t xml:space="preserve">.iloc[:-1, :]</w:t>
      </w:r>
      <w:r>
        <w:t xml:space="preserve"> </w:t>
      </w:r>
      <w:r>
        <w:t xml:space="preserve">drops the last row (support).</w:t>
      </w:r>
    </w:p>
    <w:p>
      <w:pPr>
        <w:numPr>
          <w:ilvl w:val="0"/>
          <w:numId w:val="1007"/>
        </w:numPr>
        <w:pStyle w:val="Compact"/>
      </w:pPr>
      <w:r>
        <w:rPr>
          <w:rStyle w:val="VerbatimChar"/>
        </w:rPr>
        <w:t xml:space="preserve">.T</w:t>
      </w:r>
      <w:r>
        <w:t xml:space="preserve"> </w:t>
      </w:r>
      <w:r>
        <w:t xml:space="preserve">transposes it so classes run down the side.</w:t>
      </w:r>
    </w:p>
    <w:p>
      <w:pPr>
        <w:numPr>
          <w:ilvl w:val="0"/>
          <w:numId w:val="1007"/>
        </w:numPr>
        <w:pStyle w:val="Compact"/>
      </w:pPr>
      <w:r>
        <w:rPr>
          <w:rStyle w:val="VerbatimChar"/>
        </w:rPr>
        <w:t xml:space="preserve">annot=True</w:t>
      </w:r>
      <w:r>
        <w:t xml:space="preserve"> </w:t>
      </w:r>
      <w:r>
        <w:t xml:space="preserve">writes the numeric values inside each cell.</w:t>
      </w:r>
    </w:p>
    <w:p>
      <w:pPr>
        <w:numPr>
          <w:ilvl w:val="0"/>
          <w:numId w:val="1007"/>
        </w:numPr>
        <w:pStyle w:val="Compact"/>
      </w:pPr>
      <w:r>
        <w:t xml:space="preserve">Light-colored cells indicate higher values; dark cells indicate lower values. The light cell for recall of Class 3 immediately stands out as the strongest metric.</w:t>
      </w:r>
    </w:p>
    <w:p>
      <w:r>
        <w:pict>
          <v:rect style="width:0;height:1.5pt" o:hralign="center" o:hrstd="t" o:hr="t"/>
        </w:pict>
      </w:r>
    </w:p>
    <w:bookmarkEnd w:id="27"/>
    <w:bookmarkStart w:id="28" w:name="svm-decision-regions-plot"/>
    <w:p>
      <w:pPr>
        <w:pStyle w:val="Heading3"/>
      </w:pPr>
      <w:r>
        <w:t xml:space="preserve">8. SVM Decision Regions Plot</w:t>
      </w:r>
    </w:p>
    <w:p>
      <w:pPr>
        <w:pStyle w:val="FirstParagraph"/>
      </w:pPr>
      <w:r>
        <w:t xml:space="preserve">This was described as the most conceptually interesting visualization. The professor explained:</w:t>
      </w:r>
    </w:p>
    <w:p>
      <w:pPr>
        <w:numPr>
          <w:ilvl w:val="0"/>
          <w:numId w:val="1008"/>
        </w:numPr>
      </w:pPr>
      <w:r>
        <w:rPr>
          <w:bCs/>
          <w:b/>
        </w:rPr>
        <w:t xml:space="preserve">Purpose:</w:t>
      </w:r>
      <w:r>
        <w:t xml:space="preserve"> </w:t>
      </w:r>
      <w:r>
        <w:t xml:space="preserve">The decision region plot lets us</w:t>
      </w:r>
      <w:r>
        <w:t xml:space="preserve"> </w:t>
      </w:r>
      <w:r>
        <w:rPr>
          <w:bCs/>
          <w:b/>
        </w:rPr>
        <w:t xml:space="preserve">visualize what the SVM was thinking</w:t>
      </w:r>
      <w:r>
        <w:t xml:space="preserve"> </w:t>
      </w:r>
      <w:r>
        <w:t xml:space="preserve">— we applied the SVM in Unit 5, and now we can see how it carves up the feature space.</w:t>
      </w:r>
    </w:p>
    <w:p>
      <w:pPr>
        <w:numPr>
          <w:ilvl w:val="0"/>
          <w:numId w:val="1008"/>
        </w:numPr>
      </w:pPr>
      <w:r>
        <w:rPr>
          <w:bCs/>
          <w:b/>
        </w:rPr>
        <w:t xml:space="preserve">How It Works:</w:t>
      </w:r>
      <w:r>
        <w:t xml:space="preserve"> </w:t>
      </w:r>
      <w:r>
        <w:t xml:space="preserve">The trained SVM classifier (</w:t>
      </w:r>
      <w:r>
        <w:rPr>
          <w:rStyle w:val="VerbatimChar"/>
        </w:rPr>
        <w:t xml:space="preserve">clf</w:t>
      </w:r>
      <w:r>
        <w:t xml:space="preserve">) is passed to</w:t>
      </w:r>
      <w:r>
        <w:t xml:space="preserve"> </w:t>
      </w:r>
      <w:r>
        <w:rPr>
          <w:rStyle w:val="VerbatimChar"/>
        </w:rPr>
        <w:t xml:space="preserve">plot_decision_regions()</w:t>
      </w:r>
      <w:r>
        <w:t xml:space="preserve"> </w:t>
      </w:r>
      <w:r>
        <w:t xml:space="preserve">along with the feature matrix</w:t>
      </w:r>
      <w:r>
        <w:t xml:space="preserve"> </w:t>
      </w:r>
      <w:r>
        <w:rPr>
          <w:rStyle w:val="VerbatimChar"/>
        </w:rPr>
        <w:t xml:space="preserve">X</w:t>
      </w:r>
      <w:r>
        <w:t xml:space="preserve"> </w:t>
      </w:r>
      <w:r>
        <w:t xml:space="preserve">(Number1 and DATE_NUM). The function colors every point in the 2D space according to which class the model would predict for that location.</w:t>
      </w:r>
    </w:p>
    <w:p>
      <w:pPr>
        <w:numPr>
          <w:ilvl w:val="0"/>
          <w:numId w:val="1008"/>
        </w:numPr>
      </w:pPr>
      <w:r>
        <w:rPr>
          <w:bCs/>
          <w:b/>
        </w:rPr>
        <w:t xml:space="preserve">What We Can Learn:</w:t>
      </w:r>
    </w:p>
    <w:p>
      <w:pPr>
        <w:numPr>
          <w:ilvl w:val="1"/>
          <w:numId w:val="1009"/>
        </w:numPr>
        <w:pStyle w:val="Compact"/>
      </w:pPr>
      <w:r>
        <w:t xml:space="preserve">For</w:t>
      </w:r>
      <w:r>
        <w:t xml:space="preserve"> </w:t>
      </w:r>
      <w:r>
        <w:rPr>
          <w:bCs/>
          <w:b/>
        </w:rPr>
        <w:t xml:space="preserve">any pair</w:t>
      </w:r>
      <w:r>
        <w:t xml:space="preserve"> </w:t>
      </w:r>
      <w:r>
        <w:t xml:space="preserve">of Number1 and DATE_NUM — even pairs not in the CSV — we can point at the map and know whether the model would call it Class 1, 2, or 3.</w:t>
      </w:r>
    </w:p>
    <w:p>
      <w:pPr>
        <w:numPr>
          <w:ilvl w:val="1"/>
          <w:numId w:val="1009"/>
        </w:numPr>
        <w:pStyle w:val="Compact"/>
      </w:pPr>
      <w:r>
        <w:t xml:space="preserve">Where the</w:t>
      </w:r>
      <w:r>
        <w:t xml:space="preserve"> </w:t>
      </w:r>
      <w:r>
        <w:rPr>
          <w:bCs/>
          <w:b/>
        </w:rPr>
        <w:t xml:space="preserve">color changes</w:t>
      </w:r>
      <w:r>
        <w:t xml:space="preserve">, that is the decision boundary — the line where the SVM changes its mind.</w:t>
      </w:r>
    </w:p>
    <w:p>
      <w:pPr>
        <w:numPr>
          <w:ilvl w:val="1"/>
          <w:numId w:val="1009"/>
        </w:numPr>
        <w:pStyle w:val="Compact"/>
      </w:pPr>
      <w:r>
        <w:t xml:space="preserve">The boundaries are</w:t>
      </w:r>
      <w:r>
        <w:t xml:space="preserve"> </w:t>
      </w:r>
      <w:r>
        <w:rPr>
          <w:bCs/>
          <w:b/>
        </w:rPr>
        <w:t xml:space="preserve">curved edges, not straight lines</w:t>
      </w:r>
      <w:r>
        <w:t xml:space="preserve">, which confirms the SVM is using an</w:t>
      </w:r>
      <w:r>
        <w:t xml:space="preserve"> </w:t>
      </w:r>
      <w:r>
        <w:rPr>
          <w:bCs/>
          <w:b/>
        </w:rPr>
        <w:t xml:space="preserve">RBF (Radial Basis Function) kernel</w:t>
      </w:r>
      <w:r>
        <w:t xml:space="preserve">, not a linear kernel. This validates the kernel learning approach from Unit 5.</w:t>
      </w:r>
    </w:p>
    <w:p>
      <w:r>
        <w:pict>
          <v:rect style="width:0;height:1.5pt" o:hralign="center" o:hrstd="t" o:hr="t"/>
        </w:pict>
      </w:r>
    </w:p>
    <w:bookmarkEnd w:id="28"/>
    <w:bookmarkStart w:id="29" w:name="scatter-plot"/>
    <w:p>
      <w:pPr>
        <w:pStyle w:val="Heading3"/>
      </w:pPr>
      <w:r>
        <w:t xml:space="preserve">9. Scatter Plot</w:t>
      </w:r>
    </w:p>
    <w:p>
      <w:pPr>
        <w:pStyle w:val="FirstParagraph"/>
      </w:pPr>
      <w:r>
        <w:t xml:space="preserve">The final visualization discussed was the</w:t>
      </w:r>
      <w:r>
        <w:t xml:space="preserve"> </w:t>
      </w:r>
      <w:r>
        <w:rPr>
          <w:bCs/>
          <w:b/>
        </w:rPr>
        <w:t xml:space="preserve">scatter plot</w:t>
      </w:r>
      <w:r>
        <w:t xml:space="preserve">:</w:t>
      </w:r>
    </w:p>
    <w:p>
      <w:pPr>
        <w:numPr>
          <w:ilvl w:val="0"/>
          <w:numId w:val="1010"/>
        </w:numPr>
      </w:pPr>
      <w:r>
        <w:t xml:space="preserve">It plots</w:t>
      </w:r>
      <w:r>
        <w:t xml:space="preserve"> </w:t>
      </w:r>
      <w:r>
        <w:rPr>
          <w:rStyle w:val="VerbatimChar"/>
        </w:rPr>
        <w:t xml:space="preserve">Number1</w:t>
      </w:r>
      <w:r>
        <w:t xml:space="preserve"> </w:t>
      </w:r>
      <w:r>
        <w:t xml:space="preserve">on the x-axis and</w:t>
      </w:r>
      <w:r>
        <w:t xml:space="preserve"> </w:t>
      </w:r>
      <w:r>
        <w:rPr>
          <w:rStyle w:val="VerbatimChar"/>
        </w:rPr>
        <w:t xml:space="preserve">DATE_NUM</w:t>
      </w:r>
      <w:r>
        <w:t xml:space="preserve"> </w:t>
      </w:r>
      <w:r>
        <w:t xml:space="preserve">on the y-axis, with each point colored by the target class</w:t>
      </w:r>
      <w:r>
        <w:t xml:space="preserve"> </w:t>
      </w:r>
      <w:r>
        <w:rPr>
          <w:rStyle w:val="VerbatimChar"/>
        </w:rPr>
        <w:t xml:space="preserve">y</w:t>
      </w:r>
      <w:r>
        <w:t xml:space="preserve"> </w:t>
      </w:r>
      <w:r>
        <w:t xml:space="preserve">using a</w:t>
      </w:r>
      <w:r>
        <w:t xml:space="preserve"> </w:t>
      </w:r>
      <w:r>
        <w:rPr>
          <w:bCs/>
          <w:b/>
        </w:rPr>
        <w:t xml:space="preserve">rainbow colormap</w:t>
      </w:r>
      <w:r>
        <w:t xml:space="preserve">.</w:t>
      </w:r>
    </w:p>
    <w:p>
      <w:pPr>
        <w:numPr>
          <w:ilvl w:val="0"/>
          <w:numId w:val="1010"/>
        </w:numPr>
      </w:pPr>
      <w:r>
        <w:t xml:space="preserve">The professor asked why only</w:t>
      </w:r>
      <w:r>
        <w:t xml:space="preserve"> </w:t>
      </w:r>
      <w:r>
        <w:rPr>
          <w:bCs/>
          <w:b/>
        </w:rPr>
        <w:t xml:space="preserve">9 dots</w:t>
      </w:r>
      <w:r>
        <w:t xml:space="preserve"> </w:t>
      </w:r>
      <w:r>
        <w:t xml:space="preserve">are visible when there are 1,000 rows. The explanation:</w:t>
      </w:r>
      <w:r>
        <w:t xml:space="preserve"> </w:t>
      </w:r>
      <w:r>
        <w:rPr>
          <w:rStyle w:val="VerbatimChar"/>
        </w:rPr>
        <w:t xml:space="preserve">Number1</w:t>
      </w:r>
      <w:r>
        <w:t xml:space="preserve"> </w:t>
      </w:r>
      <w:r>
        <w:t xml:space="preserve">only has 3 values (1, 2, 3) and</w:t>
      </w:r>
      <w:r>
        <w:t xml:space="preserve"> </w:t>
      </w:r>
      <w:r>
        <w:rPr>
          <w:rStyle w:val="VerbatimChar"/>
        </w:rPr>
        <w:t xml:space="preserve">DATE_NUM</w:t>
      </w:r>
      <w:r>
        <w:t xml:space="preserve"> </w:t>
      </w:r>
      <w:r>
        <w:t xml:space="preserve">only has 3 values (corresponding to the 3 dates converted to floats: 0, 1, 2). So there are only 3 × 3 = 9 unique coordinate positions. All rows sharing the same (Number1, DATE_NUM) pair</w:t>
      </w:r>
      <w:r>
        <w:t xml:space="preserve"> </w:t>
      </w:r>
      <w:r>
        <w:rPr>
          <w:bCs/>
          <w:b/>
        </w:rPr>
        <w:t xml:space="preserve">stack on top of each other</w:t>
      </w:r>
      <w:r>
        <w:t xml:space="preserve"> </w:t>
      </w:r>
      <w:r>
        <w:t xml:space="preserve">at the same point, appearing as a single dot. The color of each dot reflects the most recently plotted class value at that position.</w:t>
      </w:r>
    </w:p>
    <w:p>
      <w:r>
        <w:pict>
          <v:rect style="width:0;height:1.5pt" o:hralign="center" o:hrstd="t" o:hr="t"/>
        </w:pict>
      </w:r>
    </w:p>
    <w:bookmarkEnd w:id="29"/>
    <w:bookmarkEnd w:id="30"/>
    <w:bookmarkStart w:id="31" w:name="Xd48a581251cd72f5e79274f9eb7f0669f55bd34"/>
    <w:p>
      <w:pPr>
        <w:pStyle w:val="Heading2"/>
      </w:pPr>
      <w:r>
        <w:t xml:space="preserve">Points of Interest and Personal Reflections</w:t>
      </w:r>
    </w:p>
    <w:p>
      <w:pPr>
        <w:numPr>
          <w:ilvl w:val="0"/>
          <w:numId w:val="1011"/>
        </w:numPr>
      </w:pPr>
      <w:r>
        <w:t xml:space="preserve">I found the</w:t>
      </w:r>
      <w:r>
        <w:t xml:space="preserve"> </w:t>
      </w:r>
      <w:r>
        <w:rPr>
          <w:bCs/>
          <w:b/>
        </w:rPr>
        <w:t xml:space="preserve">three-layer Matplotlib architecture</w:t>
      </w:r>
      <w:r>
        <w:t xml:space="preserve"> </w:t>
      </w:r>
      <w:r>
        <w:t xml:space="preserve">(backend, artist, scripting) to be a helpful mental model. Understanding that</w:t>
      </w:r>
      <w:r>
        <w:t xml:space="preserve"> </w:t>
      </w:r>
      <w:r>
        <w:rPr>
          <w:rStyle w:val="VerbatimChar"/>
        </w:rPr>
        <w:t xml:space="preserve">plt.show()</w:t>
      </w:r>
      <w:r>
        <w:t xml:space="preserve"> </w:t>
      </w:r>
      <w:r>
        <w:t xml:space="preserve">is essentially handing everything off to the</w:t>
      </w:r>
      <w:r>
        <w:t xml:space="preserve"> </w:t>
      </w:r>
      <w:r>
        <w:t xml:space="preserve">“</w:t>
      </w:r>
      <w:r>
        <w:t xml:space="preserve">printer</w:t>
      </w:r>
      <w:r>
        <w:t xml:space="preserve">”</w:t>
      </w:r>
      <w:r>
        <w:t xml:space="preserve"> </w:t>
      </w:r>
      <w:r>
        <w:t xml:space="preserve">(backend) clarifies why it must come at the end of a chart block and why each</w:t>
      </w:r>
      <w:r>
        <w:t xml:space="preserve"> </w:t>
      </w:r>
      <w:r>
        <w:rPr>
          <w:rStyle w:val="VerbatimChar"/>
        </w:rPr>
        <w:t xml:space="preserve">plt.show()</w:t>
      </w:r>
      <w:r>
        <w:t xml:space="preserve"> </w:t>
      </w:r>
      <w:r>
        <w:t xml:space="preserve">call produces a separate figure.</w:t>
      </w:r>
    </w:p>
    <w:p>
      <w:pPr>
        <w:numPr>
          <w:ilvl w:val="0"/>
          <w:numId w:val="1011"/>
        </w:numPr>
      </w:pPr>
      <w:r>
        <w:t xml:space="preserve">The distinction between</w:t>
      </w:r>
      <w:r>
        <w:t xml:space="preserve"> </w:t>
      </w:r>
      <w:r>
        <w:rPr>
          <w:bCs/>
          <w:b/>
        </w:rPr>
        <w:t xml:space="preserve">precision and recall</w:t>
      </w:r>
      <w:r>
        <w:t xml:space="preserve"> </w:t>
      </w:r>
      <w:r>
        <w:t xml:space="preserve">was made very intuitive through the confusion matrix walkthrough. Precision goes down the columns (</w:t>
      </w:r>
      <w:r>
        <w:t xml:space="preserve">“</w:t>
      </w:r>
      <w:r>
        <w:t xml:space="preserve">when I said 3, was I right?</w:t>
      </w:r>
      <w:r>
        <w:t xml:space="preserve">”</w:t>
      </w:r>
      <w:r>
        <w:t xml:space="preserve">), recall goes across the rows (</w:t>
      </w:r>
      <w:r>
        <w:t xml:space="preserve">“</w:t>
      </w:r>
      <w:r>
        <w:t xml:space="preserve">of the real 3s, how many did I catch?</w:t>
      </w:r>
      <w:r>
        <w:t xml:space="preserve">”</w:t>
      </w:r>
      <w:r>
        <w:t xml:space="preserve">). The F1-score then serves as the tiebreaker between the two.</w:t>
      </w:r>
    </w:p>
    <w:p>
      <w:pPr>
        <w:numPr>
          <w:ilvl w:val="0"/>
          <w:numId w:val="1011"/>
        </w:numPr>
      </w:pPr>
      <w:r>
        <w:t xml:space="preserve">The</w:t>
      </w:r>
      <w:r>
        <w:t xml:space="preserve"> </w:t>
      </w:r>
      <w:r>
        <w:rPr>
          <w:bCs/>
          <w:b/>
        </w:rPr>
        <w:t xml:space="preserve">decision region plot</w:t>
      </w:r>
      <w:r>
        <w:t xml:space="preserve"> </w:t>
      </w:r>
      <w:r>
        <w:t xml:space="preserve">was the most visually striking part of the seminar. Seeing the curved boundaries confirmed that the RBF kernel creates non-linear decision boundaries, which is something I only understood theoretically from Unit 5. This visualization makes it concrete — if the kernel were linear, the boundaries would be straight lines.</w:t>
      </w:r>
    </w:p>
    <w:p>
      <w:pPr>
        <w:numPr>
          <w:ilvl w:val="0"/>
          <w:numId w:val="1011"/>
        </w:numPr>
      </w:pPr>
      <w:r>
        <w:t xml:space="preserve">An interesting nuance is that the</w:t>
      </w:r>
      <w:r>
        <w:t xml:space="preserve"> </w:t>
      </w:r>
      <w:r>
        <w:rPr>
          <w:bCs/>
          <w:b/>
        </w:rPr>
        <w:t xml:space="preserve">scatter plot only shows 9 points</w:t>
      </w:r>
      <w:r>
        <w:t xml:space="preserve"> </w:t>
      </w:r>
      <w:r>
        <w:t xml:space="preserve">because of the discrete nature of the features. This is a good reminder that scatter plots can be misleading with categorical or low-cardinality features — all the data is hidden behind overlapping dots. In practice, a jitter plot or a sized-dot approach might better convey the density at each coordinate.</w:t>
      </w:r>
    </w:p>
    <w:p>
      <w:pPr>
        <w:numPr>
          <w:ilvl w:val="0"/>
          <w:numId w:val="1011"/>
        </w:numPr>
      </w:pPr>
      <w:r>
        <w:t xml:space="preserve">The professor’s emphasis on</w:t>
      </w:r>
      <w:r>
        <w:t xml:space="preserve"> </w:t>
      </w:r>
      <w:r>
        <w:rPr>
          <w:bCs/>
          <w:b/>
        </w:rPr>
        <w:t xml:space="preserve">interpreting visualizations in our own words</w:t>
      </w:r>
      <w:r>
        <w:t xml:space="preserve"> </w:t>
      </w:r>
      <w:r>
        <w:t xml:space="preserve">rather than just generating them resonated with me. Machine learning is not just about running code and producing output — the real value comes from being able to explain what the results mean and whether the model is performing well or poorly.</w:t>
      </w:r>
    </w:p>
    <w:p>
      <w:r>
        <w:pict>
          <v:rect style="width:0;height:1.5pt" o:hralign="center" o:hrstd="t" o:hr="t"/>
        </w:pict>
      </w:r>
    </w:p>
    <w:p>
      <w:pPr>
        <w:pStyle w:val="FirstParagraph"/>
      </w:pPr>
      <w:r>
        <w:rPr>
          <w:iCs/>
          <w:i/>
        </w:rPr>
        <w:t xml:space="preserve">Summary prepared from the Unit 6 archived seminar recording.</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2026-10-08T02:06:16Z</dcterms:created>
  <dcterms:modified xsi:type="dcterms:W3CDTF">2026-10-08T02:06:16Z</dcterms:modified>
</cp:coreProperties>
</file>

<file path=docProps/custom.xml><?xml version="1.0" encoding="utf-8"?>
<Properties xmlns="http://schemas.openxmlformats.org/officeDocument/2006/custom-properties" xmlns:vt="http://schemas.openxmlformats.org/officeDocument/2006/docPropsVTypes"/>
</file>