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Intent Understanding Architecture (AI + Non-AI)</w:t>
      </w:r>
    </w:p>
    <w:p>
      <w:r>
        <w:t>This document describes a hybrid intent understanding system that combines symbolic reasoning (ontology graphs and rule validation) with AI techniques (embeddings and large language models). The goal is to achieve high accuracy, explainability, and reliability when interpreting user queries.</w:t>
      </w:r>
    </w:p>
    <w:p>
      <w:pPr>
        <w:pStyle w:val="Heading1"/>
      </w:pPr>
      <w:r>
        <w:t>Architecture Diagram</w:t>
      </w:r>
    </w:p>
    <w:p>
      <w:r>
        <w:drawing>
          <wp:inline xmlns:a="http://schemas.openxmlformats.org/drawingml/2006/main" xmlns:pic="http://schemas.openxmlformats.org/drawingml/2006/picture">
            <wp:extent cx="4572000" cy="5646503"/>
            <wp:docPr id="1" name="Picture 1"/>
            <wp:cNvGraphicFramePr>
              <a:graphicFrameLocks noChangeAspect="1"/>
            </wp:cNvGraphicFramePr>
            <a:graphic>
              <a:graphicData uri="http://schemas.openxmlformats.org/drawingml/2006/picture">
                <pic:pic>
                  <pic:nvPicPr>
                    <pic:cNvPr id="0" name="intent_architecture_doc_diagram.png"/>
                    <pic:cNvPicPr/>
                  </pic:nvPicPr>
                  <pic:blipFill>
                    <a:blip r:embed="rId9"/>
                    <a:stretch>
                      <a:fillRect/>
                    </a:stretch>
                  </pic:blipFill>
                  <pic:spPr>
                    <a:xfrm>
                      <a:off x="0" y="0"/>
                      <a:ext cx="4572000" cy="5646503"/>
                    </a:xfrm>
                    <a:prstGeom prst="rect"/>
                  </pic:spPr>
                </pic:pic>
              </a:graphicData>
            </a:graphic>
          </wp:inline>
        </w:drawing>
      </w:r>
    </w:p>
    <w:p>
      <w:pPr>
        <w:pStyle w:val="Heading1"/>
      </w:pPr>
      <w:r>
        <w:t>Processing Pipeline</w:t>
      </w:r>
    </w:p>
    <w:p>
      <w:pPr>
        <w:pStyle w:val="Heading2"/>
      </w:pPr>
      <w:r>
        <w:t>1. User Query</w:t>
      </w:r>
    </w:p>
    <w:p>
      <w:r>
        <w:t>Natural language input from a user. Example: 'I want to purchase 10 Tesla shares'. The system must convert this unstructured request into structured intent.</w:t>
      </w:r>
    </w:p>
    <w:p>
      <w:pPr>
        <w:pStyle w:val="Heading2"/>
      </w:pPr>
      <w:r>
        <w:t>2. Tokenizer</w:t>
      </w:r>
    </w:p>
    <w:p>
      <w:r>
        <w:t>The text is normalized and split into tokens. Operations include lowercasing, removing punctuation, and lemmatization. Example output: ['purchase','10','tesla','share'].</w:t>
      </w:r>
    </w:p>
    <w:p>
      <w:pPr>
        <w:pStyle w:val="Heading2"/>
      </w:pPr>
      <w:r>
        <w:t>3. Ontology Graph Resolver</w:t>
      </w:r>
    </w:p>
    <w:p>
      <w:r>
        <w:t>A knowledge graph maps words and synonyms to parent intents. Example: purchase -&gt; BUY_INTENT. This deterministic layer resolves most queries quickly.</w:t>
      </w:r>
    </w:p>
    <w:p>
      <w:pPr>
        <w:pStyle w:val="Heading2"/>
      </w:pPr>
      <w:r>
        <w:t>4. Embedding Similarity</w:t>
      </w:r>
    </w:p>
    <w:p>
      <w:r>
        <w:t>If graph resolution fails, sentence embeddings are compared with known intent phrases. Vector similarity identifies the closest intent meaning.</w:t>
      </w:r>
    </w:p>
    <w:p>
      <w:pPr>
        <w:pStyle w:val="Heading2"/>
      </w:pPr>
      <w:r>
        <w:t>5. LLM Semantic Reasoner</w:t>
      </w:r>
    </w:p>
    <w:p>
      <w:r>
        <w:t>For ambiguous language the system calls a large language model which interprets semantic context.</w:t>
      </w:r>
    </w:p>
    <w:p>
      <w:pPr>
        <w:pStyle w:val="Heading2"/>
      </w:pPr>
      <w:r>
        <w:t>6. Rule Validator</w:t>
      </w:r>
    </w:p>
    <w:p>
      <w:r>
        <w:t>Rules verify logical correctness. Example: BUY intent requires an asset and quantity.</w:t>
      </w:r>
    </w:p>
    <w:p>
      <w:pPr>
        <w:pStyle w:val="Heading2"/>
      </w:pPr>
      <w:r>
        <w:t>7. Confidence Gate</w:t>
      </w:r>
    </w:p>
    <w:p>
      <w:r>
        <w:t>Confidence scores from earlier stages determine whether the intent is accepted or clarification is required.</w:t>
      </w:r>
    </w:p>
    <w:p>
      <w:pPr>
        <w:pStyle w:val="Heading2"/>
      </w:pPr>
      <w:r>
        <w:t>8. Intent Confirmation</w:t>
      </w:r>
    </w:p>
    <w:p>
      <w:r>
        <w:t>The system optionally asks the user to confirm the detected intent before execution.</w:t>
      </w:r>
    </w:p>
    <w:p>
      <w:pPr>
        <w:pStyle w:val="Heading2"/>
      </w:pPr>
      <w:r>
        <w:t>9. Execution</w:t>
      </w:r>
    </w:p>
    <w:p>
      <w:r>
        <w:t>The validated structured intent triggers downstream systems such as APIs, workflows, or database queries.</w:t>
      </w:r>
    </w:p>
    <w:p>
      <w:pPr>
        <w:pStyle w:val="Heading1"/>
      </w:pPr>
      <w:r>
        <w:t>Example End‑to‑End Flow</w:t>
      </w:r>
    </w:p>
    <w:p>
      <w:r>
        <w:t>Query: 'I want to start a position in Tesla.'</w:t>
        <w:br/>
        <w:t>Tokenizer -&gt; ['start','position','tesla']</w:t>
        <w:br/>
        <w:t>Graph lookup fails.</w:t>
        <w:br/>
        <w:t>Embedding similarity detects relation to 'buy stock'.</w:t>
        <w:br/>
        <w:t>Intent = BUY.</w:t>
        <w:br/>
        <w:t>Validator detects missing quantity.</w:t>
        <w:br/>
        <w:t>System asks: 'How many shares would you like to buy?'</w:t>
      </w:r>
    </w:p>
    <w:p>
      <w:pPr>
        <w:pStyle w:val="Heading1"/>
      </w:pPr>
      <w:r>
        <w:t>Benefits</w:t>
      </w:r>
    </w:p>
    <w:p>
      <w:r>
        <w:t>• High reliability through deterministic validation</w:t>
        <w:br/>
        <w:t>• AI flexibility for natural language understanding</w:t>
        <w:br/>
        <w:t>• Explainable reasoning via ontology graph</w:t>
        <w:br/>
        <w:t>• Reduced cost by minimizing LLM calls</w:t>
      </w:r>
    </w:p>
    <w:p>
      <w:pPr>
        <w:pStyle w:val="Heading1"/>
      </w:pPr>
      <w:r>
        <w:t>Expected Performance</w:t>
      </w:r>
    </w:p>
    <w:p>
      <w:r>
        <w:t>Graph resolution: ~80‑85% of queries</w:t>
        <w:br/>
        <w:t>Embedding fallback: ~10‑15%</w:t>
        <w:br/>
        <w:t>LLM fallback: ~5%</w:t>
        <w:br/>
        <w:t>Overall classification accuracy: ~98‑99%</w:t>
        <w:br/>
        <w:t>Execution reliability: near 100% when validation and confirmation are applied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