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200" w:after="12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b/>
          <w:color w:val="B89B5E"/>
          <w:spacing w:val="60"/>
          <w:position w:val="0"/>
          <w:sz w:val="20"/>
          <w:shd w:fill="auto" w:val="clear"/>
        </w:rPr>
        <w:t xml:space="preserve">SOFTWARE REQUIREMENTS SPECIFICATION</w:t>
      </w:r>
    </w:p>
    <w:p>
      <w:pPr>
        <w:spacing w:before="0" w:after="160" w:line="240"/>
        <w:ind w:right="0" w:left="0" w:firstLine="0"/>
        <w:jc w:val="left"/>
        <w:rPr>
          <w:rFonts w:ascii="Calibri" w:hAnsi="Calibri" w:cs="Calibri" w:eastAsia="Calibri"/>
          <w:b/>
          <w:color w:val="174A3A"/>
          <w:spacing w:val="0"/>
          <w:position w:val="0"/>
          <w:sz w:val="52"/>
          <w:shd w:fill="auto" w:val="clear"/>
        </w:rPr>
      </w:pPr>
      <w:r>
        <w:rPr>
          <w:rFonts w:ascii="Calibri" w:hAnsi="Calibri" w:cs="Calibri" w:eastAsia="Calibri"/>
          <w:b/>
          <w:color w:val="174A3A"/>
          <w:spacing w:val="0"/>
          <w:position w:val="0"/>
          <w:sz w:val="52"/>
          <w:shd w:fill="auto" w:val="clear"/>
        </w:rPr>
        <w:t xml:space="preserve">Ayurveda, Yoga &amp; Health Research Consultancy Website</w:t>
      </w:r>
    </w:p>
    <w:p>
      <w:pPr>
        <w:spacing w:before="0" w:after="160" w:line="240"/>
        <w:ind w:right="0" w:left="0" w:firstLine="0"/>
        <w:jc w:val="left"/>
        <w:rPr>
          <w:rFonts w:ascii="Calibri" w:hAnsi="Calibri" w:cs="Calibri" w:eastAsia="Calibri"/>
          <w:color w:val="202724"/>
          <w:spacing w:val="0"/>
          <w:position w:val="0"/>
          <w:sz w:val="22"/>
          <w:shd w:fill="auto" w:val="clear"/>
        </w:rPr>
      </w:pPr>
    </w:p>
    <w:tbl>
      <w:tblPr/>
      <w:tblGrid>
        <w:gridCol w:w="2600"/>
        <w:gridCol w:w="7038"/>
      </w:tblGrid>
      <w:tr>
        <w:trPr>
          <w:trHeight w:val="1" w:hRule="atLeast"/>
          <w:jc w:val="left"/>
          <w:cantSplit w:val="1"/>
        </w:trPr>
        <w:tc>
          <w:tcPr>
            <w:tcW w:w="2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Item</w:t>
            </w:r>
          </w:p>
        </w:tc>
        <w:tc>
          <w:tcPr>
            <w:tcW w:w="70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Detail</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Document version</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1.0 (Draft for client review)</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Date</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1 October 2026</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Project</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Marketing and publishing website with Phase 2 consultation registration</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Prepared for</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 [Company name to be confirmed]</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Prepared by</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[Development team / author]</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Status</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Frontend delivered; CMS and EmailJS integrations configured by environment variables</w:t>
            </w:r>
          </w:p>
        </w:tc>
      </w:tr>
    </w:tbl>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Contents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1. Introduction</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2. Overall Description</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3. Functional Requirements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4. External Interface Requirements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5. Non-Functional Requirements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6. Data Requirements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7. Site Map and Routes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8. System Architecture</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9. Phasing and Out-of-Scope Items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10. Acceptance Criteria</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11. Risks, Assumptions and Open Items</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Appendix A: Design System</w:t>
      </w:r>
    </w:p>
    <w:p>
      <w:pPr>
        <w:numPr>
          <w:ilvl w:val="0"/>
          <w:numId w:val="21"/>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Appendix B: Project Structure</w:t>
      </w:r>
    </w:p>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1. Introduction</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1.1 Purpose</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This document specifies the requirements for the public website of an Ayurveda, Yoga and Health Research Consultancy. It is intended for the client, designers, developers and testers, and serves as the reference for acceptance of the delivered website.</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1.2 Scope</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product is a responsive, multi-page website that presents the consultancy as a premium research organisation connecting ancient Ayurvedic knowledge with modern scientific validation. It provides:</w:t>
      </w:r>
    </w:p>
    <w:p>
      <w:pPr>
        <w:numPr>
          <w:ilvl w:val="0"/>
          <w:numId w:val="2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Marketing pages: Home, About, Services.</w:t>
      </w:r>
    </w:p>
    <w:p>
      <w:pPr>
        <w:numPr>
          <w:ilvl w:val="0"/>
          <w:numId w:val="2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publication-style Insights section with search, category filters and article detail pages.</w:t>
      </w:r>
    </w:p>
    <w:p>
      <w:pPr>
        <w:numPr>
          <w:ilvl w:val="0"/>
          <w:numId w:val="2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Contact page that delivers inquiries to the company by email (EmailJS).</w:t>
      </w:r>
    </w:p>
    <w:p>
      <w:pPr>
        <w:numPr>
          <w:ilvl w:val="0"/>
          <w:numId w:val="2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Consultation registration page (Phase 2 interface, frontend-only for now).</w:t>
      </w:r>
    </w:p>
    <w:p>
      <w:pPr>
        <w:numPr>
          <w:ilvl w:val="0"/>
          <w:numId w:val="2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content management path so the client can publish articles without a developer (headless WordPress).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1.3 Definitions and Abbreviations</w:t>
      </w:r>
    </w:p>
    <w:tbl>
      <w:tblPr/>
      <w:tblGrid>
        <w:gridCol w:w="2200"/>
        <w:gridCol w:w="7438"/>
      </w:tblGrid>
      <w:tr>
        <w:trPr>
          <w:trHeight w:val="1" w:hRule="atLeast"/>
          <w:jc w:val="left"/>
          <w:cantSplit w:val="1"/>
        </w:trPr>
        <w:tc>
          <w:tcPr>
            <w:tcW w:w="2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Term</w:t>
            </w:r>
          </w:p>
        </w:tc>
        <w:tc>
          <w:tcPr>
            <w:tcW w:w="74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Meaning</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SPA</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Single-page application; pages render in the browser without full reloads.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Headless</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CMS that supplies content through an API while the website controls presentation.</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REST API</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HTTP interface used to read content from WordPress.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Third-party service that sends email directly from the browser without a custom backend.</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GSAP</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JavaScript animation library used for entrance, scroll and timeline animations.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CTA</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Call to action (button or link prompting a visitor to act).</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WCAG</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Web Content Accessibility Guidelines.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Slug</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readable URL segment of an article, for example ayurveda-modern-research.</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1.4 References</w:t>
      </w:r>
    </w:p>
    <w:p>
      <w:pPr>
        <w:numPr>
          <w:ilvl w:val="0"/>
          <w:numId w:val="52"/>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Client project brief: Premium Ayurveda, Yoga &amp; Health Research Consultancy Website.</w:t>
      </w:r>
    </w:p>
    <w:p>
      <w:pPr>
        <w:numPr>
          <w:ilvl w:val="0"/>
          <w:numId w:val="52"/>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EmailJS documentation (emailjs.com/docs).</w:t>
      </w:r>
    </w:p>
    <w:p>
      <w:pPr>
        <w:numPr>
          <w:ilvl w:val="0"/>
          <w:numId w:val="52"/>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WCAG 2.2, W3C.</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1.5 Document Overview</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Section 2 describes the product context. Section 3 lists functional requirements by feature area. Sections 4 to 6 cover interfaces, quality attributes and data. Sections 7 to 11 cover routes, architecture, phasing, acceptance and risks.</w:t>
      </w:r>
    </w:p>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2. Overall Description</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2.1 Product Perspective</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website is a standalone frontend application. It depends on two external services: EmailJS for contact emails, and a Google Maps embed for the location map. All other content is bundled with the application and kept in separate data files.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2.2 Product Functions (Summary)</w:t>
      </w:r>
    </w:p>
    <w:p>
      <w:pPr>
        <w:numPr>
          <w:ilvl w:val="0"/>
          <w:numId w:val="6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Present the consultancy, its four services, founders, vision and credibility.</w:t>
      </w:r>
    </w:p>
    <w:p>
      <w:pPr>
        <w:numPr>
          <w:ilvl w:val="0"/>
          <w:numId w:val="6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Let visitors read, search, filter and share research articles.</w:t>
      </w:r>
    </w:p>
    <w:p>
      <w:pPr>
        <w:numPr>
          <w:ilvl w:val="0"/>
          <w:numId w:val="6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Let visitors contact the company by form or WhatsApp.</w:t>
      </w:r>
    </w:p>
    <w:p>
      <w:pPr>
        <w:numPr>
          <w:ilvl w:val="0"/>
          <w:numId w:val="6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Let visitors request a consultation slot (Phase 2).</w:t>
      </w:r>
    </w:p>
    <w:p>
      <w:pPr>
        <w:numPr>
          <w:ilvl w:val="0"/>
          <w:numId w:val="6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Let the client publish and edit articles through WordPress.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2.3 User Classes</w:t>
      </w:r>
    </w:p>
    <w:tbl>
      <w:tblPr/>
      <w:tblGrid>
        <w:gridCol w:w="1900"/>
        <w:gridCol w:w="3869"/>
        <w:gridCol w:w="3869"/>
      </w:tblGrid>
      <w:tr>
        <w:trPr>
          <w:trHeight w:val="1" w:hRule="atLeast"/>
          <w:jc w:val="left"/>
          <w:cantSplit w:val="1"/>
        </w:trPr>
        <w:tc>
          <w:tcPr>
            <w:tcW w:w="19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User</w:t>
            </w:r>
          </w:p>
        </w:tc>
        <w:tc>
          <w:tcPr>
            <w:tcW w:w="3869"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Description</w:t>
            </w:r>
          </w:p>
        </w:tc>
        <w:tc>
          <w:tcPr>
            <w:tcW w:w="3869"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Main needs</w:t>
            </w:r>
          </w:p>
        </w:tc>
      </w:tr>
      <w:tr>
        <w:trPr>
          <w:trHeight w:val="1" w:hRule="atLeast"/>
          <w:jc w:val="left"/>
        </w:trPr>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Visitor</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Clinicians, postgraduate scholars, institutions, wellness organisations and partners.</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Understand services, assess credibility, read articles, make contact.</w:t>
            </w:r>
          </w:p>
        </w:tc>
      </w:tr>
      <w:tr>
        <w:trPr>
          <w:trHeight w:val="1" w:hRule="atLeast"/>
          <w:jc w:val="left"/>
        </w:trPr>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 administrator</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Owner of brand details, EmailJS account.</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Update contact details, rotate keys, manage users.</w:t>
            </w:r>
          </w:p>
        </w:tc>
      </w:tr>
      <w:tr>
        <w:trPr>
          <w:trHeight w:val="1" w:hRule="atLeast"/>
          <w:jc w:val="left"/>
        </w:trPr>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Developer</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Maintains and deploys the application.</w:t>
            </w:r>
          </w:p>
        </w:tc>
        <w:tc>
          <w:tcPr>
            <w:tcW w:w="3869"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Clear structure, environment-based configuration, replaceable data layers.</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2.4 Operating Environment</w:t>
      </w:r>
    </w:p>
    <w:p>
      <w:pPr>
        <w:numPr>
          <w:ilvl w:val="0"/>
          <w:numId w:val="74"/>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Browsers: current and previous major versions of Chrome, Edge, Firefox and Safari (desktop, iOS and Android).</w:t>
      </w:r>
    </w:p>
    <w:p>
      <w:pPr>
        <w:numPr>
          <w:ilvl w:val="0"/>
          <w:numId w:val="74"/>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Devices: viewport widths from 320 px to 1920 px.</w:t>
      </w:r>
    </w:p>
    <w:p>
      <w:pPr>
        <w:numPr>
          <w:ilvl w:val="0"/>
          <w:numId w:val="74"/>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Hosting: any static host with SPA rewrite to index.html (Netlify, Vercel, Cloudflare Pages, shared hosting).</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2.5 Design and Implementation Constraints</w:t>
      </w:r>
    </w:p>
    <w:p>
      <w:pPr>
        <w:numPr>
          <w:ilvl w:val="0"/>
          <w:numId w:val="76"/>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Technology: React 18, Vite, Tailwind CSS, GSAP with ScrollTrigger, React Router, lucide-react icons.</w:t>
      </w:r>
    </w:p>
    <w:p>
      <w:pPr>
        <w:numPr>
          <w:ilvl w:val="0"/>
          <w:numId w:val="76"/>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Mobile-first, component-based architecture; content separated from UI components.</w:t>
      </w:r>
    </w:p>
    <w:p>
      <w:pPr>
        <w:numPr>
          <w:ilvl w:val="0"/>
          <w:numId w:val="76"/>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brand name, logo, favicon, domain and colours are provisional and must be replaceable with minimal code changes.</w:t>
      </w:r>
    </w:p>
    <w:p>
      <w:pPr>
        <w:numPr>
          <w:ilvl w:val="0"/>
          <w:numId w:val="76"/>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No heavy background video; images lazy-loaded where applicable.</w:t>
      </w:r>
    </w:p>
    <w:p>
      <w:pPr>
        <w:numPr>
          <w:ilvl w:val="0"/>
          <w:numId w:val="76"/>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Visual direction: premium research consultancy; avoid cartoonish Ayurveda graphics, excessive green, neon colours and heavy glassmorphism.</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2.6 Assumptions and Dependencies</w:t>
      </w:r>
    </w:p>
    <w:p>
      <w:pPr>
        <w:numPr>
          <w:ilvl w:val="0"/>
          <w:numId w:val="7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client will supply final logo, brand name, domain, founder photographs, real biographies and contact details.</w:t>
      </w:r>
    </w:p>
    <w:p>
      <w:pPr>
        <w:numPr>
          <w:ilvl w:val="0"/>
          <w:numId w:val="7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client will provide an EmailJS account.</w:t>
      </w:r>
    </w:p>
    <w:p>
      <w:pPr>
        <w:numPr>
          <w:ilvl w:val="0"/>
          <w:numId w:val="7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roadmap content may later be replaced by the client's presentation.</w:t>
      </w:r>
    </w:p>
    <w:p>
      <w:pPr>
        <w:numPr>
          <w:ilvl w:val="0"/>
          <w:numId w:val="7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Third-party services (Google Fonts, Google Maps, EmailJS) remain available.</w:t>
      </w:r>
    </w:p>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3. Functional Requirements</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Priority key: Must = required for launch; Should = expected; Could = optional enhancement.</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3.1 Global Navigation and Layout</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sticky navigation bar is transparent at the top of the page and becomes solid and blurred after the visitor scrolls.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Navigation shows the logo, links to Home, About, Services, Insights and Contact, and the primary CTA "Start a Conversation" linking to /contact. The active page is visually indicated.</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Below 1024 px the navigation collapses into a hamburger menu that closes on route change or the Escape key and prevents background scrolling while open.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footer contains the logo and description, Quick Links, Services links, contact details (email, phone, location), social icons and the copyright line.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floating WhatsApp button appears on every page and opens a WhatsApp chat with a prefilled message in a new tab.</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Route changes scroll to the top; links with a hash (for example /services#thesis-to-paper) scroll to the matching section.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GEN-07</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Unknown URLs show a branded 404 page with links back to Home and Contact.</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GEN-08</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"Skip to content" link is available to keyboard users.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Should</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GEN-09</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Page changes use a subtle fade transition.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Should</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3.2 Home Page</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Hero: label "ACHARYA </w:t>
            </w:r>
            <w:r>
              <w:rPr>
                <w:rFonts w:ascii="Calibri" w:hAnsi="Calibri" w:cs="Calibri" w:eastAsia="Calibri"/>
                <w:color w:val="202724"/>
                <w:spacing w:val="0"/>
                <w:position w:val="0"/>
                <w:sz w:val="19"/>
                <w:shd w:fill="auto" w:val="clear"/>
              </w:rPr>
              <w:t xml:space="preserve">•</w:t>
            </w:r>
            <w:r>
              <w:rPr>
                <w:rFonts w:ascii="Calibri" w:hAnsi="Calibri" w:cs="Calibri" w:eastAsia="Calibri"/>
                <w:color w:val="202724"/>
                <w:spacing w:val="0"/>
                <w:position w:val="0"/>
                <w:sz w:val="19"/>
                <w:shd w:fill="auto" w:val="clear"/>
              </w:rPr>
              <w:t xml:space="preserve"> YOGA </w:t>
            </w:r>
            <w:r>
              <w:rPr>
                <w:rFonts w:ascii="Calibri" w:hAnsi="Calibri" w:cs="Calibri" w:eastAsia="Calibri"/>
                <w:color w:val="202724"/>
                <w:spacing w:val="0"/>
                <w:position w:val="0"/>
                <w:sz w:val="19"/>
                <w:shd w:fill="auto" w:val="clear"/>
              </w:rPr>
              <w:t xml:space="preserve">•</w:t>
            </w:r>
            <w:r>
              <w:rPr>
                <w:rFonts w:ascii="Calibri" w:hAnsi="Calibri" w:cs="Calibri" w:eastAsia="Calibri"/>
                <w:color w:val="202724"/>
                <w:spacing w:val="0"/>
                <w:position w:val="0"/>
                <w:sz w:val="19"/>
                <w:shd w:fill="auto" w:val="clear"/>
              </w:rPr>
              <w:t xml:space="preserve"> HEALTH RESEARCH", headline "Bridging Ancient Wisdom with Modern Science", supporting text, primary CTA "Explore Our Services" (to /services), secondary CTA "Talk to Us" (to /contact), and a hero visual.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Purpose section: eyebrow "OUR PURPOSE", heading "Where Traditional Knowledge Meets Scientific Inquiry", descriptive text, link "Discover Our Approach" and a supporting visual.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Services overview with four cards. Each shows number, icon, title, description and a "Learn More" link to the matching section on /services.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Why Work With Us: four pillars (Scientific Approach, Ayurveda Expertise, Collaborative Research, Practical Outcomes) with icons.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Founders preview with three cards (photo, name, designation, short bio, LinkedIn link) and a "Meet Our Team" link to /about#founders.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Insights preview with the three most recent articles and a "View All Insights" link.</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HOME-07</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Vision roadmap showing Consultancy, Manufacturing and Multi-speciality Ayurveda Hospital, drawn progressively on scroll.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HOME-08</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Closing CTA section "Have a Research Idea or Healthcare Project?" with buttons "Start a Conversation" and "Contact Us".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3.3 About Page</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Hero titled "Advancing Ayurveda Through Research".</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Company story, Mission and Vision sections.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Five core objective cards.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Detailed profiles for three founders, each with photo, name, designation, professional background and biography. Section is reachable at /about#founders.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Five-step approach: Understand, Research, Collaborate, Validate, Deliver.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ABT-06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Future roadmap and closing CTA "Let's Build Meaningful Healthcare Research Together".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3.4 Services Page</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SVC-01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Hero titled "Research Expertise Across Ayurveda &amp; Healthcare".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SVC-02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Four detailed sections: (01) Thesis-to-Paper Conversion &amp; Clinician Publications, (02) Collaborative Health Projects, (03) Workshops &amp; Webinars, (04) Ayurveda Procedures, Therapies &amp; Product Formulation. Each has a large number, icon, description, key offerings and a CTA.</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SVC-03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Each service CTA opens /contact with the project type preselected through a query parameter.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Should</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SVC-04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Each section has an anchor ID so cards and footer links can jump directly to it.</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3.5 Insights (Article Listing)</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Header "Research, Ayurveda &amp; Healthcare Perspectives" and a featured article (the latest) when no search or filter is active.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Search box matches article title, excerpt, category and author.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Category filter: All, Ayurveda, Yoga, Research, Healthcare, Clinical Studies, Scientific Writing. Categories load from the CMS when connected.</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Article grid cards show image, category, date, title, excerpt and a "Read Article" link.</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 empty-state message with a "Clear search and filters" action appears when nothing matches.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clear error message appears if articles cannot be loaded.</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3.6 Article Details</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Each article is available at /insights/{slug}.</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page shows featured image, category, publication date, read time, title, author and full article content.</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Share buttons for LinkedIn, X and Facebook, plus a copy-link button with confirmation.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Up to three related articles, prioritising the same category.</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 unknown slug shows a friendly "article not found" page.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Article HTML from the CMS is sanitised before display and styled consistently (headings, lists, quotes, images).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3.7 Contact Page</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Hero "Let's Start a Conversation" and a form with Full Name, Email, Phone, Project Type and Message; submit button "Send Inquiry".</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Project Type options: Thesis / Publication, Research Collaboration, Workshop / Webinar, Ayurveda Consultancy, Product Formulation, Other.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Client-side validation with inline, accessible error messages: name required; valid email; phone of at least 7 digits; project type chosen; message of at least 10 characters.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CON-04</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valid submission is sent by email through EmailJS to the company inbox, with Reply-To set to the visitor's email.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CON-05</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form shows a sending state, a success confirmation, and a failure message that includes the company email address.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CON-06</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 hidden honeypot field silently discards automated submissions.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Should</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CON-07</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page shows email, phone, location, a "Chat on WhatsApp" button, a link to book a consultation and an embedded map.</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CON-08</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Without EmailJS configuration, a production build shows the failure message instead of a false success.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3.8 Consultation Registration (Phase 2 interface)</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CST-01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Route /consultation titled "Book a Consultation" with Full Name, Email, Phone, Consultation Type, Preferred Date, Preferred Time and Message; button "Request Consultation".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CST-02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Validation as for the contact form; preferred date cannot be in the past; message is optional.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CST-03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Submission is currently frontend-only with a confirmation view. Submission is isolated in a service function so an API or second EmailJS template can be added later.</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3.9 Branding, SEO and Animation</w:t>
      </w:r>
    </w:p>
    <w:tbl>
      <w:tblPr/>
      <w:tblGrid>
        <w:gridCol w:w="1200"/>
        <w:gridCol w:w="6838"/>
        <w:gridCol w:w="1600"/>
      </w:tblGrid>
      <w:tr>
        <w:trPr>
          <w:trHeight w:val="1" w:hRule="atLeast"/>
          <w:jc w:val="left"/>
          <w:cantSplit w:val="1"/>
        </w:trPr>
        <w:tc>
          <w:tcPr>
            <w:tcW w:w="1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68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c>
          <w:tcPr>
            <w:tcW w:w="1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Priority</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BRD-01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Company name, tagline, contact details, domain, social links and logo are defined in one configuration file.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BRD-02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Brand colours are defined once as design tokens and consumed through Tailwind; changing them re-themes the site.</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SEO-01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Every page sets a unique title, meta description, Open Graph and Twitter tags, and a canonical URL.</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SEO-02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Semantic HTML with a single H1 per page, logical H2/H3 hierarchy and descriptive image alt text.</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SEO-03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Readable, stable URLs for all pages and articles.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ANM-01</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GSAP animations: hero entrance, word-by-word headline reveal, image reveal, scroll-triggered section reveals, roadmap line drawing, card hover effects and page fades.</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ANM-02</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All GSAP animation is disabled when the visitor prefers reduced motion; CSS transitions are also minimised.</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Must</w:t>
            </w:r>
          </w:p>
        </w:tc>
      </w:tr>
      <w:tr>
        <w:trPr>
          <w:trHeight w:val="1" w:hRule="atLeast"/>
          <w:jc w:val="left"/>
        </w:trPr>
        <w:tc>
          <w:tcPr>
            <w:tcW w:w="1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ANM-03</w:t>
            </w:r>
          </w:p>
        </w:tc>
        <w:tc>
          <w:tcPr>
            <w:tcW w:w="68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Animations are scoped to their page and cleaned up on navigation.</w:t>
            </w:r>
          </w:p>
        </w:tc>
        <w:tc>
          <w:tcPr>
            <w:tcW w:w="1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Should</w:t>
            </w:r>
          </w:p>
        </w:tc>
      </w:tr>
    </w:tbl>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4. External Interface Requirements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4.1 User Interface</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The interface follows an editorial, research-institution aesthetic with generous whitespace, soft rounded cards, light shadows and restrained colour (Appendix A). Layouts are mobile-first and stack to a single column on small screens. Interactive controls have visible focus states and a minimum touch target of about 44 px.</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4.2 Software and Service Interfaces</w:t>
      </w:r>
    </w:p>
    <w:tbl>
      <w:tblPr/>
      <w:tblGrid>
        <w:gridCol w:w="2200"/>
        <w:gridCol w:w="2500"/>
        <w:gridCol w:w="4938"/>
      </w:tblGrid>
      <w:tr>
        <w:trPr>
          <w:trHeight w:val="1" w:hRule="atLeast"/>
          <w:jc w:val="left"/>
          <w:cantSplit w:val="1"/>
        </w:trPr>
        <w:tc>
          <w:tcPr>
            <w:tcW w:w="2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Interface</w:t>
            </w:r>
          </w:p>
        </w:tc>
        <w:tc>
          <w:tcPr>
            <w:tcW w:w="25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Purpose</w:t>
            </w:r>
          </w:p>
        </w:tc>
        <w:tc>
          <w:tcPr>
            <w:tcW w:w="49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Details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w:t>
            </w:r>
          </w:p>
        </w:tc>
        <w:tc>
          <w:tcPr>
            <w:tcW w:w="2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Deliver contact inquiries</w:t>
            </w:r>
          </w:p>
        </w:tc>
        <w:tc>
          <w:tcPr>
            <w:tcW w:w="49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Browser SDK; Service ID, Template ID and Public Key from environment variables.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WhatsApp click-to-chat</w:t>
            </w:r>
          </w:p>
        </w:tc>
        <w:tc>
          <w:tcPr>
            <w:tcW w:w="2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Instant messaging</w:t>
            </w:r>
          </w:p>
        </w:tc>
        <w:tc>
          <w:tcPr>
            <w:tcW w:w="49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hyperlink xmlns:r="http://schemas.openxmlformats.org/officeDocument/2006/relationships" r:id="docRId0">
              <w:r>
                <w:rPr>
                  <w:rFonts w:ascii="Calibri" w:hAnsi="Calibri" w:cs="Calibri" w:eastAsia="Calibri"/>
                  <w:color w:val="202724"/>
                  <w:spacing w:val="0"/>
                  <w:position w:val="0"/>
                  <w:sz w:val="19"/>
                  <w:u w:val="single"/>
                  <w:shd w:fill="auto" w:val="clear"/>
                </w:rPr>
                <w:t xml:space="preserve">https://wa.me/{number}?text={message}</w:t>
              </w:r>
            </w:hyperlink>
            <w:r>
              <w:rPr>
                <w:rFonts w:ascii="Calibri" w:hAnsi="Calibri" w:cs="Calibri" w:eastAsia="Calibri"/>
                <w:color w:val="202724"/>
                <w:spacing w:val="0"/>
                <w:position w:val="0"/>
                <w:sz w:val="19"/>
                <w:shd w:fill="auto" w:val="clear"/>
              </w:rPr>
              <w:t xml:space="preserve">.</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Google Maps embed</w:t>
            </w:r>
          </w:p>
        </w:tc>
        <w:tc>
          <w:tcPr>
            <w:tcW w:w="2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Show location</w:t>
            </w:r>
          </w:p>
        </w:tc>
        <w:tc>
          <w:tcPr>
            <w:tcW w:w="49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iframe with a configurable query, lazy-loaded.</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Google Fonts</w:t>
            </w:r>
          </w:p>
        </w:tc>
        <w:tc>
          <w:tcPr>
            <w:tcW w:w="2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Typography</w:t>
            </w:r>
          </w:p>
        </w:tc>
        <w:tc>
          <w:tcPr>
            <w:tcW w:w="49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Playfair Display and Manrope with system-font fallbacks.</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4.3 Communications</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All traffic uses HTTPS. The WordPress subdomain must permit cross-origin read requests for the website origin. EmailJS must be restricted to the website domain.</w:t>
      </w: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5. Non-Functional Requirements</w:t>
      </w:r>
    </w:p>
    <w:tbl>
      <w:tblPr/>
      <w:tblGrid>
        <w:gridCol w:w="1100"/>
        <w:gridCol w:w="1900"/>
        <w:gridCol w:w="6638"/>
      </w:tblGrid>
      <w:tr>
        <w:trPr>
          <w:trHeight w:val="1" w:hRule="atLeast"/>
          <w:jc w:val="left"/>
          <w:cantSplit w:val="1"/>
        </w:trPr>
        <w:tc>
          <w:tcPr>
            <w:tcW w:w="11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ID</w:t>
            </w:r>
          </w:p>
        </w:tc>
        <w:tc>
          <w:tcPr>
            <w:tcW w:w="19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Category</w:t>
            </w:r>
          </w:p>
        </w:tc>
        <w:tc>
          <w:tcPr>
            <w:tcW w:w="66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Requirement</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NFR-01</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Performance</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Routes are code-split; the EmailJS SDK loads only on submission; images below the fold are lazy-loaded; no background video. Target Lighthouse Performance of 85 or higher on mobile for the Home page.</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NFR-02</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Responsiveness</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Layouts work without horizontal scrolling at 320, 375, 390, 414, 768, 1024, 1280, 1440 and 1920 px widths.</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NFR-03</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Accessibility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Target WCAG 2.2 AA: sufficient colour contrast for text, keyboard navigation, visible focus, labelled form fields, announced errors, skip link, reduced-motion support.</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NFR-04</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Security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CMS HTML is sanitised before rendering; no secrets other than the EmailJS public key are shipped to the browser; honeypot and EmailJS domain restriction reduce spam; HTTPS only.</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NFR-05</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Maintainability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Reusable components; content in data files; brand values centralised; CMS and email access isolated in service modules.</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NFR-06</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Reliability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site degrades gracefully: article errors show a message, form failures show recovery guidance, missing images fall back to illustrations.</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NFR-07</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Compatibility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Supported on the browsers and devices listed in section 2.4.</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NFR-08</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SEO</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Metadata set per page. As a client-rendered application, indexing relies on search engines executing JavaScript; pre-rendering is a future option.</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NFR-09</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Scalability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The article layer supports up to 100 published posts with browser-side filtering; larger volumes require server-side pagination.</w:t>
            </w:r>
          </w:p>
        </w:tc>
      </w:tr>
      <w:tr>
        <w:trPr>
          <w:trHeight w:val="1" w:hRule="atLeast"/>
          <w:jc w:val="left"/>
        </w:trPr>
        <w:tc>
          <w:tcPr>
            <w:tcW w:w="11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NFR-10</w:t>
            </w:r>
          </w:p>
        </w:tc>
        <w:tc>
          <w:tcPr>
            <w:tcW w:w="19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Usability</w:t>
            </w:r>
          </w:p>
        </w:tc>
        <w:tc>
          <w:tcPr>
            <w:tcW w:w="66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Plain-language labels, consistent CTAs, and no placeholder-looking elements or console errors at release.</w:t>
            </w:r>
          </w:p>
        </w:tc>
      </w:tr>
    </w:tbl>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6. Data Requirements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6.1 Article</w:t>
      </w:r>
    </w:p>
    <w:tbl>
      <w:tblPr/>
      <w:tblGrid>
        <w:gridCol w:w="2000"/>
        <w:gridCol w:w="2400"/>
        <w:gridCol w:w="5238"/>
      </w:tblGrid>
      <w:tr>
        <w:trPr>
          <w:trHeight w:val="1" w:hRule="atLeast"/>
          <w:jc w:val="left"/>
          <w:cantSplit w:val="1"/>
        </w:trPr>
        <w:tc>
          <w:tcPr>
            <w:tcW w:w="20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w:t>
            </w:r>
          </w:p>
        </w:tc>
        <w:tc>
          <w:tcPr>
            <w:tcW w:w="2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Type</w:t>
            </w:r>
          </w:p>
        </w:tc>
        <w:tc>
          <w:tcPr>
            <w:tcW w:w="52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Description</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id</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number / 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Unique identifier.</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title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Article headline.</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slug</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URL segment; unique.</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excerpt</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One to two sentence summary for cards.</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content</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HTML 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Full article body.</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image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URL or "art:variant"</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Featured image, or a built-in illustration key.</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imageAlt</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Alternative text for the image.</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category</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One of the six categories (or CMS-defined).</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author</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Author display name.</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date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ISO 8601 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Publication date.</w:t>
            </w:r>
          </w:p>
        </w:tc>
      </w:tr>
      <w:tr>
        <w:trPr>
          <w:trHeight w:val="1" w:hRule="atLeast"/>
          <w:jc w:val="left"/>
        </w:trPr>
        <w:tc>
          <w:tcPr>
            <w:tcW w:w="20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readTime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string</w:t>
            </w:r>
          </w:p>
        </w:tc>
        <w:tc>
          <w:tcPr>
            <w:tcW w:w="5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For example "6 min read"; calculated from word count for WordPress posts.</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6.2 Service, Founder and Inquiry</w:t>
      </w:r>
    </w:p>
    <w:tbl>
      <w:tblPr/>
      <w:tblGrid>
        <w:gridCol w:w="2200"/>
        <w:gridCol w:w="7438"/>
      </w:tblGrid>
      <w:tr>
        <w:trPr>
          <w:trHeight w:val="1" w:hRule="atLeast"/>
          <w:jc w:val="left"/>
          <w:cantSplit w:val="1"/>
        </w:trPr>
        <w:tc>
          <w:tcPr>
            <w:tcW w:w="2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Entity</w:t>
            </w:r>
          </w:p>
        </w:tc>
        <w:tc>
          <w:tcPr>
            <w:tcW w:w="74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Fields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Service</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id (anchor), number, icon, title, detailTitle, summary, description, offerings[title, text], projectType.</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Founder</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id, name, initials, role, photo (optional), short bio, background list, full bio, LinkedIn URL.</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Contact inquiry</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name, email, phone, projectType, message, website (honeypot, must be empty).</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Consultation request</w:t>
            </w:r>
          </w:p>
        </w:tc>
        <w:tc>
          <w:tcPr>
            <w:tcW w:w="74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name, email, phone, type, date, time, message.</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6.3 EmailJS Template Variables</w:t>
      </w:r>
    </w:p>
    <w:tbl>
      <w:tblPr/>
      <w:tblGrid>
        <w:gridCol w:w="3400"/>
        <w:gridCol w:w="6238"/>
      </w:tblGrid>
      <w:tr>
        <w:trPr>
          <w:trHeight w:val="1" w:hRule="atLeast"/>
          <w:jc w:val="left"/>
          <w:cantSplit w:val="1"/>
        </w:trPr>
        <w:tc>
          <w:tcPr>
            <w:tcW w:w="3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Variable</w:t>
            </w:r>
          </w:p>
        </w:tc>
        <w:tc>
          <w:tcPr>
            <w:tcW w:w="62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Content</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{{from_name}}</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Visitor's full name</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{{from_email}} / {{reply_to}}</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Visitor's email address</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{{phone}}</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Visitor's phone number</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{{project_type}}</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Selected project type label</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{{message}}</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Visitor's message</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{{submitted_at}}</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Local date and time of submission</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{{site_name}}</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Brand display name</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6.4 Environment Variables</w:t>
      </w:r>
    </w:p>
    <w:tbl>
      <w:tblPr/>
      <w:tblGrid>
        <w:gridCol w:w="3400"/>
        <w:gridCol w:w="6238"/>
      </w:tblGrid>
      <w:tr>
        <w:trPr>
          <w:trHeight w:val="1" w:hRule="atLeast"/>
          <w:jc w:val="left"/>
          <w:cantSplit w:val="1"/>
        </w:trPr>
        <w:tc>
          <w:tcPr>
            <w:tcW w:w="3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Variable</w:t>
            </w:r>
          </w:p>
        </w:tc>
        <w:tc>
          <w:tcPr>
            <w:tcW w:w="62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Purpose</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VITE_WP_URL</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WordPress base URL. Empty means use sample articles.</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VITE_EMAILJS_SERVICE_ID</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 service identifier.</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VITE_EMAILJS_TEMPLATE_ID</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 contact template identifier.</w:t>
            </w:r>
          </w:p>
        </w:tc>
      </w:tr>
      <w:tr>
        <w:trPr>
          <w:trHeight w:val="1" w:hRule="atLeast"/>
          <w:jc w:val="left"/>
        </w:trPr>
        <w:tc>
          <w:tcPr>
            <w:tcW w:w="3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VITE_EMAILJS_PUBLIC_KEY</w:t>
            </w:r>
          </w:p>
        </w:tc>
        <w:tc>
          <w:tcPr>
            <w:tcW w:w="62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 public key (safe to expose; restrict by domain).</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7. Site Map and Routes</w:t>
      </w:r>
    </w:p>
    <w:tbl>
      <w:tblPr/>
      <w:tblGrid>
        <w:gridCol w:w="2200"/>
        <w:gridCol w:w="2400"/>
        <w:gridCol w:w="5038"/>
      </w:tblGrid>
      <w:tr>
        <w:trPr>
          <w:trHeight w:val="1" w:hRule="atLeast"/>
          <w:jc w:val="left"/>
          <w:cantSplit w:val="1"/>
        </w:trPr>
        <w:tc>
          <w:tcPr>
            <w:tcW w:w="2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Route</w:t>
            </w:r>
          </w:p>
        </w:tc>
        <w:tc>
          <w:tcPr>
            <w:tcW w:w="2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Page</w:t>
            </w:r>
          </w:p>
        </w:tc>
        <w:tc>
          <w:tcPr>
            <w:tcW w:w="50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Notes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Home</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Nine sections including hero, services, founders, insights preview, roadmap and CTA.</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/about</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About</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Founders anchor at #founders.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/services</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Services</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Anchors: #thesis-to-paper, #collaborative-projects, #workshops-webinars, #ayurveda-consultancy.</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/insights</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Insights</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Search, filters, featured article, grid.</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/insights/:slug</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Article details</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Share buttons and related articles.</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/contact</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Contact</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Optional ?type= parameter preselects project type.</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/consultation</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Book a Consultation</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Phase 2 interface.</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t>
            </w:r>
          </w:p>
        </w:tc>
        <w:tc>
          <w:tcPr>
            <w:tcW w:w="2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404</w:t>
            </w:r>
          </w:p>
        </w:tc>
        <w:tc>
          <w:tcPr>
            <w:tcW w:w="5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Fallback for unknown URLs.</w:t>
            </w:r>
          </w:p>
        </w:tc>
      </w:tr>
    </w:tbl>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8. System Architecture</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8.1 Technology Stack</w:t>
      </w:r>
    </w:p>
    <w:tbl>
      <w:tblPr/>
      <w:tblGrid>
        <w:gridCol w:w="2600"/>
        <w:gridCol w:w="7038"/>
      </w:tblGrid>
      <w:tr>
        <w:trPr>
          <w:trHeight w:val="1" w:hRule="atLeast"/>
          <w:jc w:val="left"/>
          <w:cantSplit w:val="1"/>
        </w:trPr>
        <w:tc>
          <w:tcPr>
            <w:tcW w:w="2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Layer</w:t>
            </w:r>
          </w:p>
        </w:tc>
        <w:tc>
          <w:tcPr>
            <w:tcW w:w="70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Technology</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UI framework</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React 18 with functional components and hooks</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Build tool</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Vite</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Styling</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Tailwind CSS with CSS-variable design tokens</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Routing</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React Router 6 with lazy-loaded pages</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Animation</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GSAP and ScrollTrigger, with matchMedia for reduced motion</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Icons</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lucide-react</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 browser SDK</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Security</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DOMPurify for sanitising CMS HTML</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8.2 Architecture Principles</w:t>
      </w:r>
    </w:p>
    <w:p>
      <w:pPr>
        <w:numPr>
          <w:ilvl w:val="0"/>
          <w:numId w:val="42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Presentation components are separate from content (src/data) and from data access (src/services).</w:t>
      </w:r>
    </w:p>
    <w:p>
      <w:pPr>
        <w:numPr>
          <w:ilvl w:val="0"/>
          <w:numId w:val="42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Brand, colour and contact details are configured centrally.</w:t>
      </w:r>
    </w:p>
    <w:p>
      <w:pPr>
        <w:numPr>
          <w:ilvl w:val="0"/>
          <w:numId w:val="420"/>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Animations live in one module and are applied through a scoped hook.</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8.3 Content Flow</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Editor publishes in WordPress, then the browser requests posts from the WordPress REST API, then the adapter maps them to the article model, then the pages render ArticleCard, ArticleGrid, FeaturedArticle and ArticleDetails components.</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8.4 Contact Flow</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Visitor completes the form, then validation runs, then the service module sends template parameters through EmailJS, then the company inbox receives the email, and the visitor sees a confirmation.</w:t>
      </w: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9. Phasing and Out-of-Scope Items</w:t>
      </w:r>
    </w:p>
    <w:tbl>
      <w:tblPr/>
      <w:tblGrid>
        <w:gridCol w:w="2600"/>
        <w:gridCol w:w="7038"/>
      </w:tblGrid>
      <w:tr>
        <w:trPr>
          <w:trHeight w:val="1" w:hRule="atLeast"/>
          <w:jc w:val="left"/>
          <w:cantSplit w:val="1"/>
        </w:trPr>
        <w:tc>
          <w:tcPr>
            <w:tcW w:w="26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Phase</w:t>
            </w:r>
          </w:p>
        </w:tc>
        <w:tc>
          <w:tcPr>
            <w:tcW w:w="70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Scope</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Phase 1 (this release)</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All pages in section 7, Insights with CMS connection, EmailJS contact form, SEO metadata, animations, responsive design.</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Phase 2</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Consultation registration with a backend or EmailJS template, confirmation emails, possible scheduling and payment integration.</w:t>
            </w:r>
          </w:p>
        </w:tc>
      </w:tr>
      <w:tr>
        <w:trPr>
          <w:trHeight w:val="1" w:hRule="atLeast"/>
          <w:jc w:val="left"/>
        </w:trPr>
        <w:tc>
          <w:tcPr>
            <w:tcW w:w="26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Later</w:t>
            </w:r>
          </w:p>
        </w:tc>
        <w:tc>
          <w:tcPr>
            <w:tcW w:w="7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Pre-rendering or Next.js migration for stronger SEO, analytics, multilingual content, replacement of roadmap with client presentation, manufacturing and hospital sections.</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Out of scope for Phase 1: user accounts, online payments, e-commerce, a custom admin dashboard, patient records, and server-side processing of consultation requests.</w:t>
      </w: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10. Acceptance Criteria</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All routes in section 7 load without console errors and all navigation, footer and CTA links work.</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Layouts show no horizontal scrolling at the widths listed in NFR-02.</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test inquiry from the Contact form arrives in the company inbox with correct fields and a working Reply-To.</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A new WordPress post with category, excerpt and featured image appears on Insights, in its category filter, and on its own page without any code change.</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Invalid form entries show clear inline errors; keyboard-only users can complete the forms.</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With reduced motion enabled in the operating system, animations do not play.</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Changing the values in the brand configuration and the colour tokens updates the entire site.</w:t>
      </w:r>
    </w:p>
    <w:p>
      <w:pPr>
        <w:numPr>
          <w:ilvl w:val="0"/>
          <w:numId w:val="439"/>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Each page has a unique title and description, and shares a correct link preview.</w:t>
      </w: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11. Risks, Assumptions and Open Items</w:t>
      </w:r>
    </w:p>
    <w:tbl>
      <w:tblPr/>
      <w:tblGrid>
        <w:gridCol w:w="500"/>
        <w:gridCol w:w="4400"/>
        <w:gridCol w:w="4738"/>
      </w:tblGrid>
      <w:tr>
        <w:trPr>
          <w:trHeight w:val="1" w:hRule="atLeast"/>
          <w:jc w:val="left"/>
          <w:cantSplit w:val="1"/>
        </w:trPr>
        <w:tc>
          <w:tcPr>
            <w:tcW w:w="5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w:t>
            </w:r>
          </w:p>
        </w:tc>
        <w:tc>
          <w:tcPr>
            <w:tcW w:w="4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Item</w:t>
            </w:r>
          </w:p>
        </w:tc>
        <w:tc>
          <w:tcPr>
            <w:tcW w:w="47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Impact / Action</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1</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Final brand name, logo, favicon and domain are pending.</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Update brand configuration, favicon and metadata; update the domain in canonical URLs.</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2</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Founder photographs, real biographies and credentials are pending.</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Replace placeholder profiles in the founders data file; photos improve credibility.</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3</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Contact details, WhatsApp number, social links and map location are placeholders.</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 to confirm; update in brand configuration.</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4</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Sample articles are illustrative.</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Replace with client-authored articles in WordPress.</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5</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Photography is currently represented by original illustrations.</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Provide licensed photography or approve the illustrated direction.</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6</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EmailJS has monthly sending limits and exposes a public key by design.</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Restrict to the website domain, monitor volume, and move to a backend if inquiry volume grows.</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7</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Client-side rendering may limit search indexing of articles.</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Consider pre-rendering or Next.js if organic search is a priority.</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8</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WordPress hosting needs updates and backups.</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Client or host to manage updates, backups and user access.</w:t>
            </w:r>
          </w:p>
        </w:tc>
      </w:tr>
      <w:tr>
        <w:trPr>
          <w:trHeight w:val="1" w:hRule="atLeast"/>
          <w:jc w:val="left"/>
        </w:trPr>
        <w:tc>
          <w:tcPr>
            <w:tcW w:w="5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9</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Roadmap may be replaced by the client's presentation.</w:t>
            </w:r>
          </w:p>
        </w:tc>
        <w:tc>
          <w:tcPr>
            <w:tcW w:w="47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Roadmap is a single component and easily revised.</w:t>
            </w:r>
          </w:p>
        </w:tc>
      </w:tr>
    </w:tbl>
    <w:p>
      <w:pPr>
        <w:spacing w:before="0" w:after="0" w:line="240"/>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 </w:t>
      </w:r>
    </w:p>
    <w:p>
      <w:pPr>
        <w:spacing w:before="0" w:after="0" w:line="240"/>
        <w:ind w:right="0" w:left="0" w:firstLine="0"/>
        <w:jc w:val="left"/>
        <w:rPr>
          <w:rFonts w:ascii="Calibri" w:hAnsi="Calibri" w:cs="Calibri" w:eastAsia="Calibri"/>
          <w:color w:val="202724"/>
          <w:spacing w:val="0"/>
          <w:position w:val="0"/>
          <w:sz w:val="22"/>
          <w:shd w:fill="auto" w:val="clear"/>
        </w:rPr>
      </w:pP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Appendix A: Design System</w:t>
      </w: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A.1 Colour Palette</w:t>
      </w:r>
    </w:p>
    <w:tbl>
      <w:tblPr/>
      <w:tblGrid>
        <w:gridCol w:w="2200"/>
        <w:gridCol w:w="4400"/>
        <w:gridCol w:w="3038"/>
      </w:tblGrid>
      <w:tr>
        <w:trPr>
          <w:trHeight w:val="1" w:hRule="atLeast"/>
          <w:jc w:val="left"/>
          <w:cantSplit w:val="1"/>
        </w:trPr>
        <w:tc>
          <w:tcPr>
            <w:tcW w:w="22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Role</w:t>
            </w:r>
          </w:p>
        </w:tc>
        <w:tc>
          <w:tcPr>
            <w:tcW w:w="4400"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Name</w:t>
            </w:r>
          </w:p>
        </w:tc>
        <w:tc>
          <w:tcPr>
            <w:tcW w:w="3038" w:type="dxa"/>
            <w:tcBorders>
              <w:top w:val="single" w:color="c9d3cc" w:sz="4"/>
              <w:left w:val="single" w:color="c9d3cc" w:sz="4"/>
              <w:bottom w:val="single" w:color="c9d3cc" w:sz="4"/>
              <w:right w:val="single" w:color="c9d3cc" w:sz="4"/>
            </w:tcBorders>
            <w:shd w:color="auto" w:fill="174a3a"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Hex</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Primary</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Deep Forest Green</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#174A3A</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Secondary</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Sage Green</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#7D9B84</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Background</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Warm Ivory</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#F7F5EF</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Accent</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Muted Gold</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#B89B5E</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Text</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Charcoal</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#202724</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Surface</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White</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#FFFFFF</w:t>
            </w:r>
          </w:p>
        </w:tc>
      </w:tr>
      <w:tr>
        <w:trPr>
          <w:trHeight w:val="1" w:hRule="atLeast"/>
          <w:jc w:val="left"/>
        </w:trPr>
        <w:tc>
          <w:tcPr>
            <w:tcW w:w="22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Supporting</w:t>
            </w:r>
          </w:p>
        </w:tc>
        <w:tc>
          <w:tcPr>
            <w:tcW w:w="4400"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Forest Deep (footer), Sage Soft, Ivory Deep</w:t>
            </w:r>
          </w:p>
        </w:tc>
        <w:tc>
          <w:tcPr>
            <w:tcW w:w="3038" w:type="dxa"/>
            <w:tcBorders>
              <w:top w:val="single" w:color="c9d3cc" w:sz="4"/>
              <w:left w:val="single" w:color="c9d3cc" w:sz="4"/>
              <w:bottom w:val="single" w:color="c9d3cc" w:sz="4"/>
              <w:right w:val="single" w:color="c9d3cc" w:sz="4"/>
            </w:tcBorders>
            <w:shd w:color="000000" w:fill="ffffff" w:val="clear"/>
            <w:tcMar>
              <w:left w:w="100" w:type="dxa"/>
              <w:right w:w="100" w:type="dxa"/>
            </w:tcMar>
            <w:vAlign w:val="top"/>
          </w:tcPr>
          <w:p>
            <w:pPr>
              <w:spacing w:before="0" w:after="0" w:line="260"/>
              <w:ind w:right="0" w:left="0" w:firstLine="0"/>
              <w:jc w:val="left"/>
              <w:rPr>
                <w:rFonts w:ascii="Calibri" w:hAnsi="Calibri" w:cs="Calibri" w:eastAsia="Calibri"/>
                <w:spacing w:val="0"/>
                <w:position w:val="0"/>
                <w:shd w:fill="auto" w:val="clear"/>
              </w:rPr>
            </w:pPr>
            <w:r>
              <w:rPr>
                <w:rFonts w:ascii="Calibri" w:hAnsi="Calibri" w:cs="Calibri" w:eastAsia="Calibri"/>
                <w:color w:val="202724"/>
                <w:spacing w:val="0"/>
                <w:position w:val="0"/>
                <w:sz w:val="19"/>
                <w:shd w:fill="auto" w:val="clear"/>
              </w:rPr>
              <w:t xml:space="preserve">#0F3327, #E6EDE7, #EFEBDF</w:t>
            </w:r>
          </w:p>
        </w:tc>
      </w:tr>
    </w:tbl>
    <w:p>
      <w:pPr>
        <w:spacing w:before="0" w:after="80" w:line="240"/>
        <w:ind w:right="0" w:left="0" w:firstLine="0"/>
        <w:jc w:val="left"/>
        <w:rPr>
          <w:rFonts w:ascii="Calibri" w:hAnsi="Calibri" w:cs="Calibri" w:eastAsia="Calibri"/>
          <w:color w:val="202724"/>
          <w:spacing w:val="0"/>
          <w:position w:val="0"/>
          <w:sz w:val="22"/>
          <w:shd w:fill="auto" w:val="clear"/>
        </w:rPr>
      </w:pPr>
    </w:p>
    <w:p>
      <w:pPr>
        <w:keepNext w:val="true"/>
        <w:spacing w:before="240" w:after="100" w:line="240"/>
        <w:ind w:right="0" w:left="0" w:firstLine="0"/>
        <w:jc w:val="left"/>
        <w:rPr>
          <w:rFonts w:ascii="Calibri" w:hAnsi="Calibri" w:cs="Calibri" w:eastAsia="Calibri"/>
          <w:b/>
          <w:color w:val="174A3A"/>
          <w:spacing w:val="0"/>
          <w:position w:val="0"/>
          <w:sz w:val="26"/>
          <w:shd w:fill="auto" w:val="clear"/>
        </w:rPr>
      </w:pPr>
      <w:r>
        <w:rPr>
          <w:rFonts w:ascii="Calibri" w:hAnsi="Calibri" w:cs="Calibri" w:eastAsia="Calibri"/>
          <w:b/>
          <w:color w:val="174A3A"/>
          <w:spacing w:val="0"/>
          <w:position w:val="0"/>
          <w:sz w:val="26"/>
          <w:shd w:fill="auto" w:val="clear"/>
        </w:rPr>
        <w:t xml:space="preserve">A.2 Typography</w:t>
      </w:r>
    </w:p>
    <w:p>
      <w:pPr>
        <w:spacing w:before="0" w:after="120" w:line="276"/>
        <w:ind w:right="0" w:left="0" w:firstLine="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Headings use Playfair Display; body text uses Manrope; both have system fallbacks. Eyebrow labels use small uppercase text with wide tracking. Gold is used for decorative lines and accents, not for small text on light backgrounds, to protect contrast.</w:t>
      </w:r>
    </w:p>
    <w:p>
      <w:pPr>
        <w:keepNext w:val="true"/>
        <w:spacing w:before="360" w:after="160" w:line="240"/>
        <w:ind w:right="0" w:left="0" w:firstLine="0"/>
        <w:jc w:val="left"/>
        <w:rPr>
          <w:rFonts w:ascii="Calibri" w:hAnsi="Calibri" w:cs="Calibri" w:eastAsia="Calibri"/>
          <w:b/>
          <w:color w:val="174A3A"/>
          <w:spacing w:val="0"/>
          <w:position w:val="0"/>
          <w:sz w:val="34"/>
          <w:shd w:fill="auto" w:val="clear"/>
        </w:rPr>
      </w:pPr>
      <w:r>
        <w:rPr>
          <w:rFonts w:ascii="Calibri" w:hAnsi="Calibri" w:cs="Calibri" w:eastAsia="Calibri"/>
          <w:b/>
          <w:color w:val="174A3A"/>
          <w:spacing w:val="0"/>
          <w:position w:val="0"/>
          <w:sz w:val="34"/>
          <w:shd w:fill="auto" w:val="clear"/>
        </w:rPr>
        <w:t xml:space="preserve">Appendix B: Project Structure</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src/components: Navbar, Footer, Button, SectionHeading, ServiceCard, FounderCard, ArticleCard, ArticleGrid, FeaturedArticle, CategoryFilter, ArticleDetails, Roadmap, CTASection, WhatsAppButton and supporting components.</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src/pages: Home, About, Services, Insights, ArticleDetails, Contact, Consultation, NotFound.</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src/data: services, founders, articles, project types.</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src/services: articlesApi, wordpressAdapter, inquiryApi.</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src/animations: gsapAnimations.</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src/config: brand configuration.</w:t>
      </w:r>
    </w:p>
    <w:p>
      <w:pPr>
        <w:numPr>
          <w:ilvl w:val="0"/>
          <w:numId w:val="488"/>
        </w:numPr>
        <w:spacing w:before="0" w:after="60" w:line="276"/>
        <w:ind w:right="0" w:left="540" w:hanging="270"/>
        <w:jc w:val="left"/>
        <w:rPr>
          <w:rFonts w:ascii="Calibri" w:hAnsi="Calibri" w:cs="Calibri" w:eastAsia="Calibri"/>
          <w:color w:val="202724"/>
          <w:spacing w:val="0"/>
          <w:position w:val="0"/>
          <w:sz w:val="22"/>
          <w:shd w:fill="auto" w:val="clear"/>
        </w:rPr>
      </w:pPr>
      <w:r>
        <w:rPr>
          <w:rFonts w:ascii="Calibri" w:hAnsi="Calibri" w:cs="Calibri" w:eastAsia="Calibri"/>
          <w:color w:val="202724"/>
          <w:spacing w:val="0"/>
          <w:position w:val="0"/>
          <w:sz w:val="22"/>
          <w:shd w:fill="auto" w:val="clear"/>
        </w:rPr>
        <w:t xml:space="preserve">Documentation: README.md, CMS-SETUP.md, EMAILJS-SETUP.md, .env.example.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21">
    <w:abstractNumId w:val="54"/>
  </w:num>
  <w:num w:numId="28">
    <w:abstractNumId w:val="48"/>
  </w:num>
  <w:num w:numId="52">
    <w:abstractNumId w:val="42"/>
  </w:num>
  <w:num w:numId="60">
    <w:abstractNumId w:val="36"/>
  </w:num>
  <w:num w:numId="74">
    <w:abstractNumId w:val="30"/>
  </w:num>
  <w:num w:numId="76">
    <w:abstractNumId w:val="24"/>
  </w:num>
  <w:num w:numId="78">
    <w:abstractNumId w:val="18"/>
  </w:num>
  <w:num w:numId="420">
    <w:abstractNumId w:val="12"/>
  </w:num>
  <w:num w:numId="439">
    <w:abstractNumId w:val="6"/>
  </w:num>
  <w:num w:numId="4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a.me/%7Bnumber%7D?text={messag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