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A6640"/>
          <w:sz w:val="60"/>
          <w:szCs w:val="60"/>
        </w:rPr>
        <w:t xml:space="preserve">FINANCIAL REPORT</w:t>
      </w:r>
    </w:p>
    <w:p>
      <w:pPr>
        <w:spacing w:after="360" w:before="0"/>
        <w:jc w:val="center"/>
      </w:pPr>
      <w:r>
        <w:rPr>
          <w:rFonts w:ascii="Arial" w:cs="Arial" w:eastAsia="Arial" w:hAnsi="Arial"/>
          <w:b/>
          <w:bCs/>
          <w:color w:val="0A6640"/>
          <w:sz w:val="60"/>
          <w:szCs w:val="60"/>
        </w:rPr>
        <w:t xml:space="preserve">GENERATION SYSTEM</w:t>
      </w:r>
    </w:p>
    <w:p>
      <w:pPr>
        <w:spacing w:after="480" w:before="0"/>
        <w:jc w:val="center"/>
      </w:pPr>
      <w:r>
        <w:rPr>
          <w:rFonts w:ascii="Arial" w:cs="Arial" w:eastAsia="Arial" w:hAnsi="Arial"/>
          <w:i/>
          <w:iCs/>
          <w:color w:val="555555"/>
          <w:sz w:val="28"/>
          <w:szCs w:val="28"/>
        </w:rPr>
        <w:t xml:space="preserve">AI-Powered Financial Analysis &amp; Automated Report Generation</w:t>
      </w:r>
    </w:p>
    <w:p>
      <w:pPr>
        <w:jc w:val="center"/>
      </w:pPr>
      <w:r>
        <w:rPr>
          <w:rFonts w:ascii="Arial" w:cs="Arial" w:eastAsia="Arial" w:hAnsi="Arial"/>
          <w:color w:val="777777"/>
          <w:sz w:val="22"/>
          <w:szCs w:val="22"/>
        </w:rPr>
        <w:t xml:space="preserve">Implementation Report  |  Project 4  |  2025</w:t>
      </w:r>
    </w:p>
    <w:p>
      <w:r>
        <w:br w:type="page"/>
      </w:r>
    </w:p>
    <w:p>
      <w:pPr>
        <w:pStyle w:val="Heading1"/>
        <w:spacing w:after="180" w:before="360"/>
      </w:pPr>
      <w:r>
        <w:rPr>
          <w:rFonts w:ascii="Arial" w:cs="Arial" w:eastAsia="Arial" w:hAnsi="Arial"/>
          <w:b/>
          <w:bCs/>
          <w:color w:val="0A6640"/>
          <w:sz w:val="32"/>
          <w:szCs w:val="32"/>
        </w:rPr>
        <w:t xml:space="preserve">1. Project Overview</w:t>
      </w:r>
    </w:p>
    <w:p>
      <w:pPr>
        <w:spacing w:after="120" w:before="60"/>
        <w:jc w:val="both"/>
      </w:pPr>
      <w:r>
        <w:rPr>
          <w:rFonts w:ascii="Arial" w:cs="Arial" w:eastAsia="Arial" w:hAnsi="Arial"/>
          <w:sz w:val="22"/>
          <w:szCs w:val="22"/>
        </w:rPr>
        <w:t xml:space="preserve">The Financial Report Generation System is an AI-powered platform that automatically analyzes structured financial data and produces comprehensive, insight-rich reports suitable for investors, financial analysts, and corporate management. The system integrates Python-based financial computation with the Anthropic Claude API to deliver not just raw numbers, but actionable analytical narratives.</w:t>
      </w:r>
    </w:p>
    <w:p>
      <w:pPr>
        <w:spacing w:after="60" w:before="60"/>
      </w:pPr>
      <w:r>
        <w:t xml:space="preserve"/>
      </w:r>
    </w:p>
    <w:p>
      <w:pPr>
        <w:spacing w:after="120" w:before="60"/>
        <w:jc w:val="both"/>
      </w:pPr>
      <w:r>
        <w:rPr>
          <w:rFonts w:ascii="Arial" w:cs="Arial" w:eastAsia="Arial" w:hAnsi="Arial"/>
          <w:sz w:val="22"/>
          <w:szCs w:val="22"/>
        </w:rPr>
        <w:t xml:space="preserve">Traditional financial report generation requires significant analyst time to: compile and validate data, compute financial ratios, identify trends, write qualitative commentary, assess risks, and format the final document. This system automates all of these steps, reducing report generation time from days to minutes while maintaining the depth and quality of professional financial analysis.</w:t>
      </w:r>
    </w:p>
    <w:p>
      <w:pPr>
        <w:pStyle w:val="Heading2"/>
        <w:spacing w:after="120" w:before="240"/>
      </w:pPr>
      <w:r>
        <w:rPr>
          <w:rFonts w:ascii="Arial" w:cs="Arial" w:eastAsia="Arial" w:hAnsi="Arial"/>
          <w:b/>
          <w:bCs/>
          <w:color w:val="0A6640"/>
          <w:sz w:val="26"/>
          <w:szCs w:val="26"/>
        </w:rPr>
        <w:t xml:space="preserve">1.1 System Capabilities</w:t>
      </w:r>
    </w:p>
    <w:p>
      <w:pPr>
        <w:pStyle w:val="ListParagraph"/>
        <w:numPr>
          <w:ilvl w:val="0"/>
          <w:numId w:val="2"/>
        </w:numPr>
        <w:spacing w:after="60" w:before="40"/>
      </w:pPr>
      <w:r>
        <w:rPr>
          <w:rFonts w:ascii="Arial" w:cs="Arial" w:eastAsia="Arial" w:hAnsi="Arial"/>
          <w:sz w:val="22"/>
          <w:szCs w:val="22"/>
        </w:rPr>
        <w:t xml:space="preserve">Automated computation of 30+ financial metrics across income statement, balance sheet, and cash flow dimensions</w:t>
      </w:r>
    </w:p>
    <w:p>
      <w:pPr>
        <w:pStyle w:val="ListParagraph"/>
        <w:numPr>
          <w:ilvl w:val="0"/>
          <w:numId w:val="2"/>
        </w:numPr>
        <w:spacing w:after="60" w:before="40"/>
      </w:pPr>
      <w:r>
        <w:rPr>
          <w:rFonts w:ascii="Arial" w:cs="Arial" w:eastAsia="Arial" w:hAnsi="Arial"/>
          <w:sz w:val="22"/>
          <w:szCs w:val="22"/>
        </w:rPr>
        <w:t xml:space="preserve">AI-generated executive summaries, risk analyses, valuation commentary, and trend narratives powered by Claude</w:t>
      </w:r>
    </w:p>
    <w:p>
      <w:pPr>
        <w:pStyle w:val="ListParagraph"/>
        <w:numPr>
          <w:ilvl w:val="0"/>
          <w:numId w:val="2"/>
        </w:numPr>
        <w:spacing w:after="60" w:before="40"/>
      </w:pPr>
      <w:r>
        <w:rPr>
          <w:rFonts w:ascii="Arial" w:cs="Arial" w:eastAsia="Arial" w:hAnsi="Arial"/>
          <w:sz w:val="22"/>
          <w:szCs w:val="22"/>
        </w:rPr>
        <w:t xml:space="preserve">Quarterly trend analysis with ASCII visualization of revenue and margin trajectories</w:t>
      </w:r>
    </w:p>
    <w:p>
      <w:pPr>
        <w:pStyle w:val="ListParagraph"/>
        <w:numPr>
          <w:ilvl w:val="0"/>
          <w:numId w:val="2"/>
        </w:numPr>
        <w:spacing w:after="60" w:before="40"/>
      </w:pPr>
      <w:r>
        <w:rPr>
          <w:rFonts w:ascii="Arial" w:cs="Arial" w:eastAsia="Arial" w:hAnsi="Arial"/>
          <w:sz w:val="22"/>
          <w:szCs w:val="22"/>
        </w:rPr>
        <w:t xml:space="preserve">Benchmark comparison against industry standards with automated traffic-light rating (GOOD / CAUTION / ALERT)</w:t>
      </w:r>
    </w:p>
    <w:p>
      <w:pPr>
        <w:pStyle w:val="ListParagraph"/>
        <w:numPr>
          <w:ilvl w:val="0"/>
          <w:numId w:val="2"/>
        </w:numPr>
        <w:spacing w:after="60" w:before="40"/>
      </w:pPr>
      <w:r>
        <w:rPr>
          <w:rFonts w:ascii="Arial" w:cs="Arial" w:eastAsia="Arial" w:hAnsi="Arial"/>
          <w:sz w:val="22"/>
          <w:szCs w:val="22"/>
        </w:rPr>
        <w:t xml:space="preserve">Complete income statement, balance sheet, and cash flow statement in structured tabular format</w:t>
      </w:r>
    </w:p>
    <w:p>
      <w:pPr>
        <w:pStyle w:val="ListParagraph"/>
        <w:numPr>
          <w:ilvl w:val="0"/>
          <w:numId w:val="2"/>
        </w:numPr>
        <w:spacing w:after="60" w:before="40"/>
      </w:pPr>
      <w:r>
        <w:rPr>
          <w:rFonts w:ascii="Arial" w:cs="Arial" w:eastAsia="Arial" w:hAnsi="Arial"/>
          <w:sz w:val="22"/>
          <w:szCs w:val="22"/>
        </w:rPr>
        <w:t xml:space="preserve">Modular, extensible architecture allowing easy addition of new data sources and report sections</w:t>
      </w:r>
    </w:p>
    <w:p>
      <w:pPr>
        <w:pStyle w:val="Heading2"/>
        <w:spacing w:after="120" w:before="240"/>
      </w:pPr>
      <w:r>
        <w:rPr>
          <w:rFonts w:ascii="Arial" w:cs="Arial" w:eastAsia="Arial" w:hAnsi="Arial"/>
          <w:b/>
          <w:bCs/>
          <w:color w:val="0A6640"/>
          <w:sz w:val="26"/>
          <w:szCs w:val="26"/>
        </w:rPr>
        <w:t xml:space="preserve">1.2 Technology Stack</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060"/>
      </w:tblGrid>
      <w:tr>
        <w:trPr>
          <w:tblHeader/>
        </w:trPr>
        <w:tc>
          <w:tcPr>
            <w:tcW w:type="dxa" w:w="180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6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Core Language</w:t>
            </w:r>
          </w:p>
        </w:tc>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Python 3.12</w:t>
            </w:r>
          </w:p>
        </w:tc>
        <w:tc>
          <w:tcPr>
            <w:tcW w:type="dxa" w:w="40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Financial computation, data processing, system orchestration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 Engine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 (claude-sonnet-4-20250514)</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Executive summary, risk analysis, valuation commentary, trend insights</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urllib (stdlib)</w:t>
            </w:r>
          </w:p>
        </w:tc>
        <w:tc>
          <w:tcPr>
            <w:tcW w:type="dxa" w:w="40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API communication with error handling and timeout management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Data Handling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Pure Python dicts/lists</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 external dependencies for financial data structures</w:t>
            </w:r>
          </w:p>
        </w:tc>
      </w:tr>
      <w:tr>
        <w:tc>
          <w:tcPr>
            <w:tcW w:type="dxa" w:w="1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Output</w:t>
            </w:r>
          </w:p>
        </w:tc>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Structured text report</w:t>
            </w:r>
          </w:p>
        </w:tc>
        <w:tc>
          <w:tcPr>
            <w:tcW w:type="dxa" w:w="40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Machine-readable and human-readable report format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Secure API key management via ANTHROPIC_API_KEY</w:t>
            </w:r>
          </w:p>
        </w:tc>
      </w:tr>
    </w:tbl>
    <w:p>
      <w:r>
        <w:br w:type="page"/>
      </w:r>
    </w:p>
    <w:p>
      <w:pPr>
        <w:pStyle w:val="Heading1"/>
        <w:spacing w:after="180" w:before="360"/>
      </w:pPr>
      <w:r>
        <w:rPr>
          <w:rFonts w:ascii="Arial" w:cs="Arial" w:eastAsia="Arial" w:hAnsi="Arial"/>
          <w:b/>
          <w:bCs/>
          <w:color w:val="0A6640"/>
          <w:sz w:val="32"/>
          <w:szCs w:val="32"/>
        </w:rPr>
        <w:t xml:space="preserve">2. System Architecture</w:t>
      </w:r>
    </w:p>
    <w:p>
      <w:pPr>
        <w:pStyle w:val="Heading2"/>
        <w:spacing w:after="120" w:before="240"/>
      </w:pPr>
      <w:r>
        <w:rPr>
          <w:rFonts w:ascii="Arial" w:cs="Arial" w:eastAsia="Arial" w:hAnsi="Arial"/>
          <w:b/>
          <w:bCs/>
          <w:color w:val="0A6640"/>
          <w:sz w:val="26"/>
          <w:szCs w:val="26"/>
        </w:rPr>
        <w:t xml:space="preserve">2.1 Architecture Overview</w:t>
      </w:r>
    </w:p>
    <w:p>
      <w:pPr>
        <w:spacing w:after="120" w:before="60"/>
        <w:jc w:val="both"/>
      </w:pPr>
      <w:r>
        <w:rPr>
          <w:rFonts w:ascii="Arial" w:cs="Arial" w:eastAsia="Arial" w:hAnsi="Arial"/>
          <w:sz w:val="22"/>
          <w:szCs w:val="22"/>
        </w:rPr>
        <w:t xml:space="preserve">The system follows a five-layer architecture that separates data ingestion, computation, AI enrichment, report assembly, and output formatting. This layered design ensures each component is independently testable and replaceable.</w:t>
      </w:r>
    </w:p>
    <w:p>
      <w:pPr>
        <w:spacing w:after="60" w:before="60"/>
      </w:pPr>
      <w: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020"/>
      </w:tblGrid>
      <w:tr>
        <w:trPr>
          <w:tblHeader/>
        </w:trPr>
        <w:tc>
          <w:tcPr>
            <w:tcW w:type="dxa" w:w="144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2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44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Layer 1: Data</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QUARTERLY_DATA, BALANCE_SHEET, CASH_FLOW, MARKET_DATA</w:t>
            </w:r>
          </w:p>
        </w:tc>
        <w:tc>
          <w:tcPr>
            <w:tcW w:type="dxa" w:w="40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Structured financial data storage; extensible to CSV/API feeds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Layer 2: Compute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compute_financials()</w:t>
            </w:r>
          </w:p>
        </w:tc>
        <w:tc>
          <w:tcPr>
            <w:tcW w:type="dxa" w:w="4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Calculates all financial ratios, margins, growth rates, per-share metrics</w:t>
            </w:r>
          </w:p>
        </w:tc>
      </w:tr>
      <w:tr>
        <w:tc>
          <w:tcPr>
            <w:tcW w:type="dxa" w:w="144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Layer 3: AI</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call_claude_api() + specialized generators</w:t>
            </w:r>
          </w:p>
        </w:tc>
        <w:tc>
          <w:tcPr>
            <w:tcW w:type="dxa" w:w="40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Calls Anthropic API to generate qualitative insights for each section</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Layer 4: Assembly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generate_report()</w:t>
            </w:r>
          </w:p>
        </w:tc>
        <w:tc>
          <w:tcPr>
            <w:tcW w:type="dxa" w:w="4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Orchestrates all sections; handles data formatting and visualization</w:t>
            </w:r>
          </w:p>
        </w:tc>
      </w:tr>
      <w:tr>
        <w:tc>
          <w:tcPr>
            <w:tcW w:type="dxa" w:w="144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Layer 5: Output</w:t>
            </w:r>
          </w:p>
        </w:tc>
        <w:tc>
          <w:tcPr>
            <w:tcW w:type="dxa" w:w="3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File write + stdout</w:t>
            </w:r>
          </w:p>
        </w:tc>
        <w:tc>
          <w:tcPr>
            <w:tcW w:type="dxa" w:w="40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Outputs formatted text report; extensible to PDF, DOCX, or HTML</w:t>
            </w:r>
          </w:p>
        </w:tc>
      </w:tr>
    </w:tbl>
    <w:p>
      <w:pPr>
        <w:spacing w:after="60" w:before="60"/>
      </w:pPr>
      <w:r>
        <w:t xml:space="preserve"/>
      </w:r>
    </w:p>
    <w:p>
      <w:pPr>
        <w:pStyle w:val="Heading2"/>
        <w:spacing w:after="120" w:before="240"/>
      </w:pPr>
      <w:r>
        <w:rPr>
          <w:rFonts w:ascii="Arial" w:cs="Arial" w:eastAsia="Arial" w:hAnsi="Arial"/>
          <w:b/>
          <w:bCs/>
          <w:color w:val="0A6640"/>
          <w:sz w:val="26"/>
          <w:szCs w:val="26"/>
        </w:rPr>
        <w:t xml:space="preserve">2.2 Data Flow</w:t>
      </w:r>
    </w:p>
    <w:p>
      <w:pPr>
        <w:spacing w:after="120" w:before="60"/>
        <w:jc w:val="both"/>
      </w:pPr>
      <w:r>
        <w:rPr>
          <w:rFonts w:ascii="Arial" w:cs="Arial" w:eastAsia="Arial" w:hAnsi="Arial"/>
          <w:sz w:val="22"/>
          <w:szCs w:val="22"/>
        </w:rPr>
        <w:t xml:space="preserve">The data flow through the system is linear and deterministic: raw financial data enters Layer 1, undergoes mathematical transformation in Layer 2, is enriched with AI-generated narrative in Layer 3, assembled into a structured document in Layer 4, and output in Layer 5. The AI layer is designed to fail gracefully—if the API is unavailable, the system continues generating the quantitative sections of the report.</w:t>
      </w:r>
    </w:p>
    <w:p>
      <w:pPr>
        <w:pStyle w:val="Heading2"/>
        <w:spacing w:after="120" w:before="240"/>
      </w:pPr>
      <w:r>
        <w:rPr>
          <w:rFonts w:ascii="Arial" w:cs="Arial" w:eastAsia="Arial" w:hAnsi="Arial"/>
          <w:b/>
          <w:bCs/>
          <w:color w:val="0A6640"/>
          <w:sz w:val="26"/>
          <w:szCs w:val="26"/>
        </w:rPr>
        <w:t xml:space="preserve">2.3 API Integration Pattern</w:t>
      </w:r>
    </w:p>
    <w:p>
      <w:pPr>
        <w:spacing w:after="120" w:before="60"/>
        <w:jc w:val="both"/>
      </w:pPr>
      <w:r>
        <w:rPr>
          <w:rFonts w:ascii="Arial" w:cs="Arial" w:eastAsia="Arial" w:hAnsi="Arial"/>
          <w:sz w:val="22"/>
          <w:szCs w:val="22"/>
        </w:rPr>
        <w:t xml:space="preserve">Each AI analysis section uses a specialized prompt function that constructs a context-rich, instruction-specific prompt from the computed metrics, then calls the centralized call_claude_api() function. This pattern ensures:</w:t>
      </w:r>
    </w:p>
    <w:p>
      <w:pPr>
        <w:pStyle w:val="ListParagraph"/>
        <w:numPr>
          <w:ilvl w:val="0"/>
          <w:numId w:val="2"/>
        </w:numPr>
        <w:spacing w:after="60" w:before="40"/>
      </w:pPr>
      <w:r>
        <w:rPr>
          <w:rFonts w:ascii="Arial" w:cs="Arial" w:eastAsia="Arial" w:hAnsi="Arial"/>
          <w:sz w:val="22"/>
          <w:szCs w:val="22"/>
        </w:rPr>
        <w:t xml:space="preserve">Separation of prompt engineering from API mechanics</w:t>
      </w:r>
    </w:p>
    <w:p>
      <w:pPr>
        <w:pStyle w:val="ListParagraph"/>
        <w:numPr>
          <w:ilvl w:val="0"/>
          <w:numId w:val="2"/>
        </w:numPr>
        <w:spacing w:after="60" w:before="40"/>
      </w:pPr>
      <w:r>
        <w:rPr>
          <w:rFonts w:ascii="Arial" w:cs="Arial" w:eastAsia="Arial" w:hAnsi="Arial"/>
          <w:sz w:val="22"/>
          <w:szCs w:val="22"/>
        </w:rPr>
        <w:t xml:space="preserve">Consistent error handling and fallback behavior across all AI calls</w:t>
      </w:r>
    </w:p>
    <w:p>
      <w:pPr>
        <w:pStyle w:val="ListParagraph"/>
        <w:numPr>
          <w:ilvl w:val="0"/>
          <w:numId w:val="2"/>
        </w:numPr>
        <w:spacing w:after="60" w:before="40"/>
      </w:pPr>
      <w:r>
        <w:rPr>
          <w:rFonts w:ascii="Arial" w:cs="Arial" w:eastAsia="Arial" w:hAnsi="Arial"/>
          <w:sz w:val="22"/>
          <w:szCs w:val="22"/>
        </w:rPr>
        <w:t xml:space="preserve">Easy modification of individual analysis sections without affecting others</w:t>
      </w:r>
    </w:p>
    <w:p>
      <w:pPr>
        <w:pStyle w:val="ListParagraph"/>
        <w:numPr>
          <w:ilvl w:val="0"/>
          <w:numId w:val="2"/>
        </w:numPr>
        <w:spacing w:after="60" w:before="40"/>
      </w:pPr>
      <w:r>
        <w:rPr>
          <w:rFonts w:ascii="Arial" w:cs="Arial" w:eastAsia="Arial" w:hAnsi="Arial"/>
          <w:sz w:val="22"/>
          <w:szCs w:val="22"/>
        </w:rPr>
        <w:t xml:space="preserve">Token efficiency through targeted, single-purpose prompts</w:t>
      </w:r>
    </w:p>
    <w:p>
      <w:r>
        <w:br w:type="page"/>
      </w:r>
    </w:p>
    <w:p>
      <w:pPr>
        <w:pStyle w:val="Heading1"/>
        <w:spacing w:after="180" w:before="360"/>
      </w:pPr>
      <w:r>
        <w:rPr>
          <w:rFonts w:ascii="Arial" w:cs="Arial" w:eastAsia="Arial" w:hAnsi="Arial"/>
          <w:b/>
          <w:bCs/>
          <w:color w:val="0A6640"/>
          <w:sz w:val="32"/>
          <w:szCs w:val="32"/>
        </w:rPr>
        <w:t xml:space="preserve">3. Key Modules &amp; Implementation</w:t>
      </w:r>
    </w:p>
    <w:p>
      <w:pPr>
        <w:pStyle w:val="Heading2"/>
        <w:spacing w:after="120" w:before="240"/>
      </w:pPr>
      <w:r>
        <w:rPr>
          <w:rFonts w:ascii="Arial" w:cs="Arial" w:eastAsia="Arial" w:hAnsi="Arial"/>
          <w:b/>
          <w:bCs/>
          <w:color w:val="0A6640"/>
          <w:sz w:val="26"/>
          <w:szCs w:val="26"/>
        </w:rPr>
        <w:t xml:space="preserve">3.1 Financial Computation Engine</w:t>
      </w:r>
    </w:p>
    <w:p>
      <w:pPr>
        <w:spacing w:after="80" w:before="180"/>
      </w:pPr>
      <w:r>
        <w:rPr>
          <w:rFonts w:ascii="Arial" w:cs="Arial" w:eastAsia="Arial" w:hAnsi="Arial"/>
          <w:b/>
          <w:bCs/>
          <w:color w:val="1A7A50"/>
          <w:sz w:val="24"/>
          <w:szCs w:val="24"/>
        </w:rPr>
        <w:t xml:space="preserve">compute_financials()</w:t>
      </w:r>
    </w:p>
    <w:p>
      <w:pPr>
        <w:spacing w:after="120" w:before="60"/>
        <w:jc w:val="both"/>
      </w:pPr>
      <w:r>
        <w:rPr>
          <w:rFonts w:ascii="Arial" w:cs="Arial" w:eastAsia="Arial" w:hAnsi="Arial"/>
          <w:sz w:val="22"/>
          <w:szCs w:val="22"/>
        </w:rPr>
        <w:t xml:space="preserve">The core computation engine accepts four data dictionaries and returns a comprehensive metrics object. It computes:</w:t>
      </w:r>
    </w:p>
    <w:p>
      <w:pPr>
        <w:pStyle w:val="ListParagraph"/>
        <w:numPr>
          <w:ilvl w:val="0"/>
          <w:numId w:val="2"/>
        </w:numPr>
        <w:spacing w:after="60" w:before="40"/>
      </w:pPr>
      <w:r>
        <w:rPr>
          <w:rFonts w:ascii="Arial" w:cs="Arial" w:eastAsia="Arial" w:hAnsi="Arial"/>
          <w:sz w:val="22"/>
          <w:szCs w:val="22"/>
        </w:rPr>
        <w:t xml:space="preserve">Income statement aggregates: total revenue, COGS, gross profit, EBITDA, EBIT, EBT, net income</w:t>
      </w:r>
    </w:p>
    <w:p>
      <w:pPr>
        <w:pStyle w:val="ListParagraph"/>
        <w:numPr>
          <w:ilvl w:val="0"/>
          <w:numId w:val="2"/>
        </w:numPr>
        <w:spacing w:after="60" w:before="40"/>
      </w:pPr>
      <w:r>
        <w:rPr>
          <w:rFonts w:ascii="Arial" w:cs="Arial" w:eastAsia="Arial" w:hAnsi="Arial"/>
          <w:sz w:val="22"/>
          <w:szCs w:val="22"/>
        </w:rPr>
        <w:t xml:space="preserve">Margin analysis: gross margin, EBITDA margin, operating margin, net margin</w:t>
      </w:r>
    </w:p>
    <w:p>
      <w:pPr>
        <w:pStyle w:val="ListParagraph"/>
        <w:numPr>
          <w:ilvl w:val="0"/>
          <w:numId w:val="2"/>
        </w:numPr>
        <w:spacing w:after="60" w:before="40"/>
      </w:pPr>
      <w:r>
        <w:rPr>
          <w:rFonts w:ascii="Arial" w:cs="Arial" w:eastAsia="Arial" w:hAnsi="Arial"/>
          <w:sz w:val="22"/>
          <w:szCs w:val="22"/>
        </w:rPr>
        <w:t xml:space="preserve">Balance sheet aggregates: current assets, non-current assets, total assets, total liabilities, equity</w:t>
      </w:r>
    </w:p>
    <w:p>
      <w:pPr>
        <w:pStyle w:val="ListParagraph"/>
        <w:numPr>
          <w:ilvl w:val="0"/>
          <w:numId w:val="2"/>
        </w:numPr>
        <w:spacing w:after="60" w:before="40"/>
      </w:pPr>
      <w:r>
        <w:rPr>
          <w:rFonts w:ascii="Arial" w:cs="Arial" w:eastAsia="Arial" w:hAnsi="Arial"/>
          <w:sz w:val="22"/>
          <w:szCs w:val="22"/>
        </w:rPr>
        <w:t xml:space="preserve">Liquidity ratios: current ratio, quick ratio, cash ratio</w:t>
      </w:r>
    </w:p>
    <w:p>
      <w:pPr>
        <w:pStyle w:val="ListParagraph"/>
        <w:numPr>
          <w:ilvl w:val="0"/>
          <w:numId w:val="2"/>
        </w:numPr>
        <w:spacing w:after="60" w:before="40"/>
      </w:pPr>
      <w:r>
        <w:rPr>
          <w:rFonts w:ascii="Arial" w:cs="Arial" w:eastAsia="Arial" w:hAnsi="Arial"/>
          <w:sz w:val="22"/>
          <w:szCs w:val="22"/>
        </w:rPr>
        <w:t xml:space="preserve">Leverage ratios: debt-to-equity, debt-to-assets, interest coverage, net debt, EV/EBITDA</w:t>
      </w:r>
    </w:p>
    <w:p>
      <w:pPr>
        <w:pStyle w:val="ListParagraph"/>
        <w:numPr>
          <w:ilvl w:val="0"/>
          <w:numId w:val="2"/>
        </w:numPr>
        <w:spacing w:after="60" w:before="40"/>
      </w:pPr>
      <w:r>
        <w:rPr>
          <w:rFonts w:ascii="Arial" w:cs="Arial" w:eastAsia="Arial" w:hAnsi="Arial"/>
          <w:sz w:val="22"/>
          <w:szCs w:val="22"/>
        </w:rPr>
        <w:t xml:space="preserve">Profitability ratios: ROE, ROA, ROCE</w:t>
      </w:r>
    </w:p>
    <w:p>
      <w:pPr>
        <w:pStyle w:val="ListParagraph"/>
        <w:numPr>
          <w:ilvl w:val="0"/>
          <w:numId w:val="2"/>
        </w:numPr>
        <w:spacing w:after="60" w:before="40"/>
      </w:pPr>
      <w:r>
        <w:rPr>
          <w:rFonts w:ascii="Arial" w:cs="Arial" w:eastAsia="Arial" w:hAnsi="Arial"/>
          <w:sz w:val="22"/>
          <w:szCs w:val="22"/>
        </w:rPr>
        <w:t xml:space="preserve">Per-share metrics: EPS, P/E ratio, dividend yield, market cap, price-to-book</w:t>
      </w:r>
    </w:p>
    <w:p>
      <w:pPr>
        <w:pStyle w:val="ListParagraph"/>
        <w:numPr>
          <w:ilvl w:val="0"/>
          <w:numId w:val="2"/>
        </w:numPr>
        <w:spacing w:after="60" w:before="40"/>
      </w:pPr>
      <w:r>
        <w:rPr>
          <w:rFonts w:ascii="Arial" w:cs="Arial" w:eastAsia="Arial" w:hAnsi="Arial"/>
          <w:sz w:val="22"/>
          <w:szCs w:val="22"/>
        </w:rPr>
        <w:t xml:space="preserve">Cash flow metrics: operating cash flow, free cash flow, FCF margin, FCF yield</w:t>
      </w:r>
    </w:p>
    <w:p>
      <w:pPr>
        <w:pStyle w:val="ListParagraph"/>
        <w:numPr>
          <w:ilvl w:val="0"/>
          <w:numId w:val="2"/>
        </w:numPr>
        <w:spacing w:after="60" w:before="40"/>
      </w:pPr>
      <w:r>
        <w:rPr>
          <w:rFonts w:ascii="Arial" w:cs="Arial" w:eastAsia="Arial" w:hAnsi="Arial"/>
          <w:sz w:val="22"/>
          <w:szCs w:val="22"/>
        </w:rPr>
        <w:t xml:space="preserve">Growth metrics: YoY revenue growth, gross profit growth, net income growth, quarterly sequential growth</w:t>
      </w:r>
    </w:p>
    <w:p>
      <w:pPr>
        <w:spacing w:after="60" w:before="60"/>
      </w:pPr>
      <w:r>
        <w:t xml:space="preserve"/>
      </w:r>
    </w:p>
    <w:p>
      <w:pPr>
        <w:spacing w:after="120" w:before="60"/>
        <w:jc w:val="both"/>
      </w:pPr>
      <w:r>
        <w:rPr>
          <w:rFonts w:ascii="Arial" w:cs="Arial" w:eastAsia="Arial" w:hAnsi="Arial"/>
          <w:sz w:val="22"/>
          <w:szCs w:val="22"/>
        </w:rPr>
        <w:t xml:space="preserve">The function uses a 21% effective tax rate assumption and derives interest expense from long-term debt outstanding at a 4.5% assumed rate—parameters that are clearly documented and easily configurable.</w:t>
      </w:r>
    </w:p>
    <w:p>
      <w:pPr>
        <w:pStyle w:val="Heading2"/>
        <w:spacing w:after="120" w:before="240"/>
      </w:pPr>
      <w:r>
        <w:rPr>
          <w:rFonts w:ascii="Arial" w:cs="Arial" w:eastAsia="Arial" w:hAnsi="Arial"/>
          <w:b/>
          <w:bCs/>
          <w:color w:val="0A6640"/>
          <w:sz w:val="26"/>
          <w:szCs w:val="26"/>
        </w:rPr>
        <w:t xml:space="preserve">3.2 AI Analysis Functions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260"/>
      </w:tblGrid>
      <w:tr>
        <w:trPr>
          <w:tblHeader/>
        </w:trPr>
        <w:tc>
          <w:tcPr>
            <w:tcW w:type="dxa" w:w="240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20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Section Generated</w:t>
            </w:r>
          </w:p>
        </w:tc>
        <w:tc>
          <w:tcPr>
            <w:tcW w:type="dxa" w:w="280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Key Metrics Passed</w:t>
            </w:r>
          </w:p>
        </w:tc>
        <w:tc>
          <w:tcPr>
            <w:tcW w:type="dxa" w:w="126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Approx. Tokens</w:t>
            </w:r>
          </w:p>
        </w:tc>
      </w:tr>
      <w:tr>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generate_executive_summary()</w:t>
            </w:r>
          </w:p>
        </w:tc>
        <w:tc>
          <w:tcPr>
            <w:tcW w:type="dxa" w:w="2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Executive Summary</w:t>
            </w:r>
          </w:p>
        </w:tc>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Revenue, net income, EBITDA, FCF, EPS, ROE, market cap</w:t>
            </w:r>
          </w:p>
        </w:tc>
        <w:tc>
          <w:tcPr>
            <w:tcW w:type="dxa" w:w="12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~400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generate_risk_analysis()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Risk Analysis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Current ratio, D/E, interest coverage, net debt, EV/EBITDA, beta</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24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generate_segment_insights()</w:t>
            </w:r>
          </w:p>
        </w:tc>
        <w:tc>
          <w:tcPr>
            <w:tcW w:type="dxa" w:w="2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Quarterly Analysis</w:t>
            </w:r>
          </w:p>
        </w:tc>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Q1-Q4 revenues, sequential growth rates, gross margins, R&amp;D %</w:t>
            </w:r>
          </w:p>
        </w:tc>
        <w:tc>
          <w:tcPr>
            <w:tcW w:type="dxa" w:w="12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~350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generate_valuation_commentary()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Valuation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 P/B, EV/EBITDA, FCF yield, dividend yield, revenue growth, ROE</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r>
    </w:tbl>
    <w:p>
      <w:pPr>
        <w:pStyle w:val="Heading2"/>
        <w:spacing w:after="120" w:before="240"/>
      </w:pPr>
      <w:r>
        <w:rPr>
          <w:rFonts w:ascii="Arial" w:cs="Arial" w:eastAsia="Arial" w:hAnsi="Arial"/>
          <w:b/>
          <w:bCs/>
          <w:color w:val="0A6640"/>
          <w:sz w:val="26"/>
          <w:szCs w:val="26"/>
        </w:rPr>
        <w:t xml:space="preserve">3.3 Benchmarking &amp; Alert System</w:t>
      </w:r>
    </w:p>
    <w:p>
      <w:pPr>
        <w:spacing w:after="120" w:before="60"/>
        <w:jc w:val="both"/>
      </w:pPr>
      <w:r>
        <w:rPr>
          <w:rFonts w:ascii="Arial" w:cs="Arial" w:eastAsia="Arial" w:hAnsi="Arial"/>
          <w:sz w:val="22"/>
          <w:szCs w:val="22"/>
        </w:rPr>
        <w:t xml:space="preserve">The print_kpi_row() function implements an automated benchmarking layer that compares each computed metric against industry-standard thresholds and assigns a status rating:</w:t>
      </w:r>
    </w:p>
    <w:p>
      <w:pPr>
        <w:pStyle w:val="ListParagraph"/>
        <w:numPr>
          <w:ilvl w:val="0"/>
          <w:numId w:val="2"/>
        </w:numPr>
        <w:spacing w:after="60" w:before="40"/>
      </w:pPr>
      <w:r>
        <w:rPr>
          <w:rFonts w:ascii="Arial" w:cs="Arial" w:eastAsia="Arial" w:hAnsi="Arial"/>
          <w:sz w:val="22"/>
          <w:szCs w:val="22"/>
        </w:rPr>
        <w:t xml:space="preserve">GOOD (✅): Metric meets or exceeds the benchmark threshold</w:t>
      </w:r>
    </w:p>
    <w:p>
      <w:pPr>
        <w:pStyle w:val="ListParagraph"/>
        <w:numPr>
          <w:ilvl w:val="0"/>
          <w:numId w:val="2"/>
        </w:numPr>
        <w:spacing w:after="60" w:before="40"/>
      </w:pPr>
      <w:r>
        <w:rPr>
          <w:rFonts w:ascii="Arial" w:cs="Arial" w:eastAsia="Arial" w:hAnsi="Arial"/>
          <w:sz w:val="22"/>
          <w:szCs w:val="22"/>
        </w:rPr>
        <w:t xml:space="preserve">CAUTION (⚠️): Metric is within acceptable range but below optimal threshold</w:t>
      </w:r>
    </w:p>
    <w:p>
      <w:pPr>
        <w:pStyle w:val="ListParagraph"/>
        <w:numPr>
          <w:ilvl w:val="0"/>
          <w:numId w:val="2"/>
        </w:numPr>
        <w:spacing w:after="60" w:before="40"/>
      </w:pPr>
      <w:r>
        <w:rPr>
          <w:rFonts w:ascii="Arial" w:cs="Arial" w:eastAsia="Arial" w:hAnsi="Arial"/>
          <w:sz w:val="22"/>
          <w:szCs w:val="22"/>
        </w:rPr>
        <w:t xml:space="preserve">ALERT (🔴): Metric falls below minimum acceptable threshold</w:t>
      </w:r>
    </w:p>
    <w:p>
      <w:pPr>
        <w:spacing w:after="60" w:before="60"/>
      </w:pPr>
      <w:r>
        <w:t xml:space="preserve"/>
      </w:r>
    </w:p>
    <w:p>
      <w:pPr>
        <w:spacing w:after="120" w:before="60"/>
        <w:jc w:val="both"/>
      </w:pPr>
      <w:r>
        <w:rPr>
          <w:rFonts w:ascii="Arial" w:cs="Arial" w:eastAsia="Arial" w:hAnsi="Arial"/>
          <w:sz w:val="22"/>
          <w:szCs w:val="22"/>
        </w:rPr>
        <w:t xml:space="preserve">This feature provides at-a-glance financial health assessment without requiring the user to manually compare each ratio, and the thresholds are easily customizable per industry or company type.</w:t>
      </w:r>
    </w:p>
    <w:p>
      <w:r>
        <w:br w:type="page"/>
      </w:r>
    </w:p>
    <w:p>
      <w:pPr>
        <w:pStyle w:val="Heading1"/>
        <w:spacing w:after="180" w:before="360"/>
      </w:pPr>
      <w:r>
        <w:rPr>
          <w:rFonts w:ascii="Arial" w:cs="Arial" w:eastAsia="Arial" w:hAnsi="Arial"/>
          <w:b/>
          <w:bCs/>
          <w:color w:val="0A6640"/>
          <w:sz w:val="32"/>
          <w:szCs w:val="32"/>
        </w:rPr>
        <w:t xml:space="preserve">4. Sample System Output</w:t>
      </w:r>
    </w:p>
    <w:p>
      <w:pPr>
        <w:pStyle w:val="Heading2"/>
        <w:spacing w:after="120" w:before="240"/>
      </w:pPr>
      <w:r>
        <w:rPr>
          <w:rFonts w:ascii="Arial" w:cs="Arial" w:eastAsia="Arial" w:hAnsi="Arial"/>
          <w:b/>
          <w:bCs/>
          <w:color w:val="0A6640"/>
          <w:sz w:val="26"/>
          <w:szCs w:val="26"/>
        </w:rPr>
        <w:t xml:space="preserve">4.1 TechNova Solutions Inc. – FY2024 Results</w:t>
      </w:r>
    </w:p>
    <w:p>
      <w:pPr>
        <w:spacing w:after="120" w:before="60"/>
        <w:jc w:val="both"/>
      </w:pPr>
      <w:r>
        <w:rPr>
          <w:rFonts w:ascii="Arial" w:cs="Arial" w:eastAsia="Arial" w:hAnsi="Arial"/>
          <w:sz w:val="22"/>
          <w:szCs w:val="22"/>
        </w:rPr>
        <w:t xml:space="preserve">The following table summarizes the computed financial metrics for the sample company dataset included in the system:</w:t>
      </w:r>
    </w:p>
    <w:p>
      <w:pPr>
        <w:spacing w:after="60" w:before="6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2160"/>
        <w:gridCol w:w="3180"/>
      </w:tblGrid>
      <w:tr>
        <w:trPr>
          <w:tblHeader/>
        </w:trPr>
        <w:tc>
          <w:tcPr>
            <w:tcW w:type="dxa" w:w="162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0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FY2024 Value</w:t>
            </w:r>
          </w:p>
        </w:tc>
        <w:tc>
          <w:tcPr>
            <w:tcW w:type="dxa" w:w="318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Revenue</w:t>
            </w:r>
          </w:p>
        </w:tc>
        <w:tc>
          <w:tcPr>
            <w:tcW w:type="dxa" w:w="27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Total Revenue</w:t>
            </w:r>
          </w:p>
        </w:tc>
        <w:tc>
          <w:tcPr>
            <w:tcW w:type="dxa" w:w="21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$667.6M</w:t>
            </w:r>
          </w:p>
        </w:tc>
        <w:tc>
          <w:tcPr>
            <w:tcW w:type="dxa" w:w="318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
            </w:r>
          </w:p>
        </w:tc>
      </w:tr>
      <w:tr>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YoY Revenue Growth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+14.3%</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Strong</w:t>
            </w:r>
          </w:p>
        </w:tc>
      </w:tr>
      <w:tr>
        <w:tc>
          <w:tcPr>
            <w:tcW w:type="dxa" w:w="16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Profitability</w:t>
            </w:r>
          </w:p>
        </w:tc>
        <w:tc>
          <w:tcPr>
            <w:tcW w:type="dxa" w:w="27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Gross Margin</w:t>
            </w:r>
          </w:p>
        </w:tc>
        <w:tc>
          <w:tcPr>
            <w:tcW w:type="dxa" w:w="21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53.5%</w:t>
            </w:r>
          </w:p>
        </w:tc>
        <w:tc>
          <w:tcPr>
            <w:tcW w:type="dxa" w:w="318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 Above avg</w:t>
            </w:r>
          </w:p>
        </w:tc>
      </w:tr>
      <w:tr>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Profitability</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EBITDA Margin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26.1%</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Healthy</w:t>
            </w:r>
          </w:p>
        </w:tc>
      </w:tr>
      <w:tr>
        <w:tc>
          <w:tcPr>
            <w:tcW w:type="dxa" w:w="16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Profitability</w:t>
            </w:r>
          </w:p>
        </w:tc>
        <w:tc>
          <w:tcPr>
            <w:tcW w:type="dxa" w:w="27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Net Margin</w:t>
            </w:r>
          </w:p>
        </w:tc>
        <w:tc>
          <w:tcPr>
            <w:tcW w:type="dxa" w:w="21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16.2%</w:t>
            </w:r>
          </w:p>
        </w:tc>
        <w:tc>
          <w:tcPr>
            <w:tcW w:type="dxa" w:w="318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 Good</w:t>
            </w:r>
          </w:p>
        </w:tc>
      </w:tr>
      <w:tr>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Profitability</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Return on Equity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13.1%</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Near threshold</w:t>
            </w:r>
          </w:p>
        </w:tc>
      </w:tr>
      <w:tr>
        <w:tc>
          <w:tcPr>
            <w:tcW w:type="dxa" w:w="16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Liquidity</w:t>
            </w:r>
          </w:p>
        </w:tc>
        <w:tc>
          <w:tcPr>
            <w:tcW w:type="dxa" w:w="27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Current Ratio</w:t>
            </w:r>
          </w:p>
        </w:tc>
        <w:tc>
          <w:tcPr>
            <w:tcW w:type="dxa" w:w="21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2.52x</w:t>
            </w:r>
          </w:p>
        </w:tc>
        <w:tc>
          <w:tcPr>
            <w:tcW w:type="dxa" w:w="318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 Slightly high</w:t>
            </w:r>
          </w:p>
        </w:tc>
      </w:tr>
      <w:tr>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Liquidity</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Quick Ratio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2.28x</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Strong</w:t>
            </w:r>
          </w:p>
        </w:tc>
      </w:tr>
      <w:tr>
        <w:tc>
          <w:tcPr>
            <w:tcW w:type="dxa" w:w="16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Leverage</w:t>
            </w:r>
          </w:p>
        </w:tc>
        <w:tc>
          <w:tcPr>
            <w:tcW w:type="dxa" w:w="27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Debt-to-Equity</w:t>
            </w:r>
          </w:p>
        </w:tc>
        <w:tc>
          <w:tcPr>
            <w:tcW w:type="dxa" w:w="21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0.41x</w:t>
            </w:r>
          </w:p>
        </w:tc>
        <w:tc>
          <w:tcPr>
            <w:tcW w:type="dxa" w:w="318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 Conservative</w:t>
            </w:r>
          </w:p>
        </w:tc>
      </w:tr>
      <w:tr>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Leverage</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Interest Coverage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11.9x</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Very comfortable</w:t>
            </w:r>
          </w:p>
        </w:tc>
      </w:tr>
      <w:tr>
        <w:tc>
          <w:tcPr>
            <w:tcW w:type="dxa" w:w="16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Cash Flow</w:t>
            </w:r>
          </w:p>
        </w:tc>
        <w:tc>
          <w:tcPr>
            <w:tcW w:type="dxa" w:w="27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Free Cash Flow</w:t>
            </w:r>
          </w:p>
        </w:tc>
        <w:tc>
          <w:tcPr>
            <w:tcW w:type="dxa" w:w="21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$129.8M</w:t>
            </w:r>
          </w:p>
        </w:tc>
        <w:tc>
          <w:tcPr>
            <w:tcW w:type="dxa" w:w="318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 Positive</w:t>
            </w:r>
          </w:p>
        </w:tc>
      </w:tr>
      <w:tr>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Cash Flow</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FCF Margin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19.4%</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Strong</w:t>
            </w:r>
          </w:p>
        </w:tc>
      </w:tr>
      <w:tr>
        <w:tc>
          <w:tcPr>
            <w:tcW w:type="dxa" w:w="16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Valuation</w:t>
            </w:r>
          </w:p>
        </w:tc>
        <w:tc>
          <w:tcPr>
            <w:tcW w:type="dxa" w:w="27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EPS</w:t>
            </w:r>
          </w:p>
        </w:tc>
        <w:tc>
          <w:tcPr>
            <w:tcW w:type="dxa" w:w="21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$0.76</w:t>
            </w:r>
          </w:p>
        </w:tc>
        <w:tc>
          <w:tcPr>
            <w:tcW w:type="dxa" w:w="318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
            </w:r>
          </w:p>
        </w:tc>
      </w:tr>
      <w:tr>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Valuation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 Ratio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115.3x</w:t>
            </w:r>
          </w:p>
        </w:tc>
        <w:tc>
          <w:tcPr>
            <w:tcW w:type="dxa" w:w="31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 Premium valuation</w:t>
            </w:r>
          </w:p>
        </w:tc>
      </w:tr>
      <w:tr>
        <w:tc>
          <w:tcPr>
            <w:tcW w:type="dxa" w:w="162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Market</w:t>
            </w:r>
          </w:p>
        </w:tc>
        <w:tc>
          <w:tcPr>
            <w:tcW w:type="dxa" w:w="27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Market Capitalization</w:t>
            </w:r>
          </w:p>
        </w:tc>
        <w:tc>
          <w:tcPr>
            <w:tcW w:type="dxa" w:w="216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$12,466M</w:t>
            </w:r>
          </w:p>
        </w:tc>
        <w:tc>
          <w:tcPr>
            <w:tcW w:type="dxa" w:w="318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120" w:before="240"/>
      </w:pPr>
      <w:r>
        <w:rPr>
          <w:rFonts w:ascii="Arial" w:cs="Arial" w:eastAsia="Arial" w:hAnsi="Arial"/>
          <w:b/>
          <w:bCs/>
          <w:color w:val="0A6640"/>
          <w:sz w:val="26"/>
          <w:szCs w:val="26"/>
        </w:rPr>
        <w:t xml:space="preserve">4.2 Quarterly Revenue Performance</w:t>
      </w:r>
    </w:p>
    <w:p>
      <w:pPr>
        <w:spacing w:after="120" w:before="60"/>
        <w:jc w:val="both"/>
      </w:pPr>
      <w:r>
        <w:rPr>
          <w:rFonts w:ascii="Arial" w:cs="Arial" w:eastAsia="Arial" w:hAnsi="Arial"/>
          <w:sz w:val="22"/>
          <w:szCs w:val="22"/>
        </w:rPr>
        <w:t xml:space="preserve">The system generates ASCII bar chart visualizations of quarterly performance within the terminal output. For FY2024, TechNova demonstrated consistent sequential revenue growth across all four quarters, with gross margins expanding from 52.0% in Q1 to 54.8% in Q4, reflecting improving operational leverage:</w:t>
      </w:r>
    </w:p>
    <w:p>
      <w:pPr>
        <w:spacing w:after="60" w:before="60"/>
      </w:pPr>
      <w:r>
        <w:t xml:space="preserve"/>
      </w:r>
    </w:p>
    <w:p>
      <w:pPr>
        <w:shd w:fill="F4F4F4" w:val="clear"/>
        <w:spacing w:after="40" w:before="40"/>
      </w:pPr>
      <w:r>
        <w:rPr>
          <w:rFonts w:ascii="Courier New" w:cs="Courier New" w:eastAsia="Courier New" w:hAnsi="Courier New"/>
          <w:color w:val="1A1A2E"/>
          <w:sz w:val="18"/>
          <w:szCs w:val="18"/>
        </w:rPr>
        <w:t xml:space="preserve">  Q1: █████████████████████░░░░░░░░░ $142.5M  GM:52.0%</w:t>
      </w:r>
    </w:p>
    <w:p>
      <w:pPr>
        <w:shd w:fill="F4F4F4" w:val="clear"/>
        <w:spacing w:after="40" w:before="40"/>
      </w:pPr>
      <w:r>
        <w:rPr>
          <w:rFonts w:ascii="Courier New" w:cs="Courier New" w:eastAsia="Courier New" w:hAnsi="Courier New"/>
          <w:color w:val="1A1A2E"/>
          <w:sz w:val="18"/>
          <w:szCs w:val="18"/>
        </w:rPr>
        <w:t xml:space="preserve">  Q2: ████████████████████████░░░░░░ $158.3M  GM:53.2%</w:t>
      </w:r>
    </w:p>
    <w:p>
      <w:pPr>
        <w:shd w:fill="F4F4F4" w:val="clear"/>
        <w:spacing w:after="40" w:before="40"/>
      </w:pPr>
      <w:r>
        <w:rPr>
          <w:rFonts w:ascii="Courier New" w:cs="Courier New" w:eastAsia="Courier New" w:hAnsi="Courier New"/>
          <w:color w:val="1A1A2E"/>
          <w:sz w:val="18"/>
          <w:szCs w:val="18"/>
        </w:rPr>
        <w:t xml:space="preserve">  Q3: ██████████████████████████░░░░ $171.6M  GM:53.5%</w:t>
      </w:r>
    </w:p>
    <w:p>
      <w:pPr>
        <w:shd w:fill="F4F4F4" w:val="clear"/>
        <w:spacing w:after="40" w:before="40"/>
      </w:pPr>
      <w:r>
        <w:rPr>
          <w:rFonts w:ascii="Courier New" w:cs="Courier New" w:eastAsia="Courier New" w:hAnsi="Courier New"/>
          <w:color w:val="1A1A2E"/>
          <w:sz w:val="18"/>
          <w:szCs w:val="18"/>
        </w:rPr>
        <w:t xml:space="preserve">  Q4: ██████████████████████████████ $195.2M  GM:54.8%</w:t>
      </w:r>
    </w:p>
    <w:p>
      <w:pPr>
        <w:spacing w:after="60" w:before="60"/>
      </w:pPr>
      <w:r>
        <w:t xml:space="preserve"/>
      </w:r>
    </w:p>
    <w:p>
      <w:pPr>
        <w:spacing w:after="120" w:before="60"/>
        <w:jc w:val="both"/>
      </w:pPr>
      <w:r>
        <w:rPr>
          <w:rFonts w:ascii="Arial" w:cs="Arial" w:eastAsia="Arial" w:hAnsi="Arial"/>
          <w:sz w:val="22"/>
          <w:szCs w:val="22"/>
        </w:rPr>
        <w:t xml:space="preserve">Sequential revenue growth rates were 11.1% (Q1→Q2), 8.4% (Q2→Q3), and 13.8% (Q3→Q4), with Q4 demonstrating the strongest growth, potentially reflecting seasonal demand patterns or the contribution of new product launches.</w:t>
      </w:r>
    </w:p>
    <w:p>
      <w:r>
        <w:br w:type="page"/>
      </w:r>
    </w:p>
    <w:p>
      <w:pPr>
        <w:pStyle w:val="Heading1"/>
        <w:spacing w:after="180" w:before="360"/>
      </w:pPr>
      <w:r>
        <w:rPr>
          <w:rFonts w:ascii="Arial" w:cs="Arial" w:eastAsia="Arial" w:hAnsi="Arial"/>
          <w:b/>
          <w:bCs/>
          <w:color w:val="0A6640"/>
          <w:sz w:val="32"/>
          <w:szCs w:val="32"/>
        </w:rPr>
        <w:t xml:space="preserve">5. Error Handling &amp; Data Validation</w:t>
      </w:r>
    </w:p>
    <w:p>
      <w:pPr>
        <w:pStyle w:val="Heading2"/>
        <w:spacing w:after="120" w:before="240"/>
      </w:pPr>
      <w:r>
        <w:rPr>
          <w:rFonts w:ascii="Arial" w:cs="Arial" w:eastAsia="Arial" w:hAnsi="Arial"/>
          <w:b/>
          <w:bCs/>
          <w:color w:val="0A6640"/>
          <w:sz w:val="26"/>
          <w:szCs w:val="26"/>
        </w:rPr>
        <w:t xml:space="preserve">5.1 API Error Handling</w:t>
      </w:r>
    </w:p>
    <w:p>
      <w:pPr>
        <w:spacing w:after="120" w:before="60"/>
        <w:jc w:val="both"/>
      </w:pPr>
      <w:r>
        <w:rPr>
          <w:rFonts w:ascii="Arial" w:cs="Arial" w:eastAsia="Arial" w:hAnsi="Arial"/>
          <w:sz w:val="22"/>
          <w:szCs w:val="22"/>
        </w:rPr>
        <w:t xml:space="preserve">The call_claude_api() function implements a comprehensive exception handling strategy. The try/except block catches all urllib exceptions including HTTP errors (401 Unauthorized, 429 Rate Limited, 500 Internal Server Error), network timeouts, and JSON parsing errors. On any failure, the function returns a descriptive placeholder message that allows the report generation to continue uninterrupted, ensuring the quantitative sections of the report remain available even when AI services are unavailable.</w:t>
      </w:r>
    </w:p>
    <w:p>
      <w:pPr>
        <w:pStyle w:val="Heading2"/>
        <w:spacing w:after="120" w:before="240"/>
      </w:pPr>
      <w:r>
        <w:rPr>
          <w:rFonts w:ascii="Arial" w:cs="Arial" w:eastAsia="Arial" w:hAnsi="Arial"/>
          <w:b/>
          <w:bCs/>
          <w:color w:val="0A6640"/>
          <w:sz w:val="26"/>
          <w:szCs w:val="26"/>
        </w:rPr>
        <w:t xml:space="preserve">5.2 Data Validation</w:t>
      </w:r>
    </w:p>
    <w:p>
      <w:pPr>
        <w:spacing w:after="120" w:before="60"/>
        <w:jc w:val="both"/>
      </w:pPr>
      <w:r>
        <w:rPr>
          <w:rFonts w:ascii="Arial" w:cs="Arial" w:eastAsia="Arial" w:hAnsi="Arial"/>
          <w:sz w:val="22"/>
          <w:szCs w:val="22"/>
        </w:rPr>
        <w:t xml:space="preserve">The system validates data at the computation layer through the following mechanisms:</w:t>
      </w:r>
    </w:p>
    <w:p>
      <w:pPr>
        <w:pStyle w:val="ListParagraph"/>
        <w:numPr>
          <w:ilvl w:val="0"/>
          <w:numId w:val="2"/>
        </w:numPr>
        <w:spacing w:after="60" w:before="40"/>
      </w:pPr>
      <w:r>
        <w:rPr>
          <w:rFonts w:ascii="Arial" w:cs="Arial" w:eastAsia="Arial" w:hAnsi="Arial"/>
          <w:sz w:val="22"/>
          <w:szCs w:val="22"/>
        </w:rPr>
        <w:t xml:space="preserve">Division-by-zero protection: All ratio calculations are structured to avoid zero denominators through data validation at input</w:t>
      </w:r>
    </w:p>
    <w:p>
      <w:pPr>
        <w:pStyle w:val="ListParagraph"/>
        <w:numPr>
          <w:ilvl w:val="0"/>
          <w:numId w:val="2"/>
        </w:numPr>
        <w:spacing w:after="60" w:before="40"/>
      </w:pPr>
      <w:r>
        <w:rPr>
          <w:rFonts w:ascii="Arial" w:cs="Arial" w:eastAsia="Arial" w:hAnsi="Arial"/>
          <w:sz w:val="22"/>
          <w:szCs w:val="22"/>
        </w:rPr>
        <w:t xml:space="preserve">Negative value handling: Cash flow items use signed values (negative for outflows) with explicit labeling to prevent sign errors in aggregation</w:t>
      </w:r>
    </w:p>
    <w:p>
      <w:pPr>
        <w:pStyle w:val="ListParagraph"/>
        <w:numPr>
          <w:ilvl w:val="0"/>
          <w:numId w:val="2"/>
        </w:numPr>
        <w:spacing w:after="60" w:before="40"/>
      </w:pPr>
      <w:r>
        <w:rPr>
          <w:rFonts w:ascii="Arial" w:cs="Arial" w:eastAsia="Arial" w:hAnsi="Arial"/>
          <w:sz w:val="22"/>
          <w:szCs w:val="22"/>
        </w:rPr>
        <w:t xml:space="preserve">Rounding consistency: All computed metrics are rounded to consistent decimal places using Python's round() function to prevent floating-point display artifacts</w:t>
      </w:r>
    </w:p>
    <w:p>
      <w:pPr>
        <w:pStyle w:val="ListParagraph"/>
        <w:numPr>
          <w:ilvl w:val="0"/>
          <w:numId w:val="2"/>
        </w:numPr>
        <w:spacing w:after="60" w:before="40"/>
      </w:pPr>
      <w:r>
        <w:rPr>
          <w:rFonts w:ascii="Arial" w:cs="Arial" w:eastAsia="Arial" w:hAnsi="Arial"/>
          <w:sz w:val="22"/>
          <w:szCs w:val="22"/>
        </w:rPr>
        <w:t xml:space="preserve">Missing data tolerance: The metrics dictionary structure uses explicit keys, making missing data immediately apparent as KeyError exceptions rather than silent incorrect calculations</w:t>
      </w:r>
    </w:p>
    <w:p>
      <w:pPr>
        <w:pStyle w:val="Heading2"/>
        <w:spacing w:after="120" w:before="240"/>
      </w:pPr>
      <w:r>
        <w:rPr>
          <w:rFonts w:ascii="Arial" w:cs="Arial" w:eastAsia="Arial" w:hAnsi="Arial"/>
          <w:b/>
          <w:bCs/>
          <w:color w:val="0A6640"/>
          <w:sz w:val="26"/>
          <w:szCs w:val="26"/>
        </w:rPr>
        <w:t xml:space="preserve">5.3 Security Considerations</w:t>
      </w:r>
    </w:p>
    <w:p>
      <w:pPr>
        <w:pStyle w:val="ListParagraph"/>
        <w:numPr>
          <w:ilvl w:val="0"/>
          <w:numId w:val="2"/>
        </w:numPr>
        <w:spacing w:after="60" w:before="40"/>
      </w:pPr>
      <w:r>
        <w:rPr>
          <w:rFonts w:ascii="Arial" w:cs="Arial" w:eastAsia="Arial" w:hAnsi="Arial"/>
          <w:sz w:val="22"/>
          <w:szCs w:val="22"/>
        </w:rPr>
        <w:t xml:space="preserve">API Key Management: The ANTHROPIC_API_KEY is read from environment variables, never hardcoded in source code</w:t>
      </w:r>
    </w:p>
    <w:p>
      <w:pPr>
        <w:pStyle w:val="ListParagraph"/>
        <w:numPr>
          <w:ilvl w:val="0"/>
          <w:numId w:val="2"/>
        </w:numPr>
        <w:spacing w:after="60" w:before="40"/>
      </w:pPr>
      <w:r>
        <w:rPr>
          <w:rFonts w:ascii="Arial" w:cs="Arial" w:eastAsia="Arial" w:hAnsi="Arial"/>
          <w:sz w:val="22"/>
          <w:szCs w:val="22"/>
        </w:rPr>
        <w:t xml:space="preserve">No PII in Prompts: The system uses only aggregate financial figures in AI prompts; no patient or customer data is ever transmitted</w:t>
      </w:r>
    </w:p>
    <w:p>
      <w:pPr>
        <w:pStyle w:val="ListParagraph"/>
        <w:numPr>
          <w:ilvl w:val="0"/>
          <w:numId w:val="2"/>
        </w:numPr>
        <w:spacing w:after="60" w:before="40"/>
      </w:pPr>
      <w:r>
        <w:rPr>
          <w:rFonts w:ascii="Arial" w:cs="Arial" w:eastAsia="Arial" w:hAnsi="Arial"/>
          <w:sz w:val="22"/>
          <w:szCs w:val="22"/>
        </w:rPr>
        <w:t xml:space="preserve">Timeout Configuration: All API calls use a 30-second timeout to prevent indefinite hanging in production environments</w:t>
      </w:r>
    </w:p>
    <w:p>
      <w:pPr>
        <w:pStyle w:val="ListParagraph"/>
        <w:numPr>
          <w:ilvl w:val="0"/>
          <w:numId w:val="2"/>
        </w:numPr>
        <w:spacing w:after="60" w:before="40"/>
      </w:pPr>
      <w:r>
        <w:rPr>
          <w:rFonts w:ascii="Arial" w:cs="Arial" w:eastAsia="Arial" w:hAnsi="Arial"/>
          <w:sz w:val="22"/>
          <w:szCs w:val="22"/>
        </w:rPr>
        <w:t xml:space="preserve">Output Sanitization: Report output is plain text, preventing code injection through financial data fields</w:t>
      </w:r>
    </w:p>
    <w:p>
      <w:r>
        <w:br w:type="page"/>
      </w:r>
    </w:p>
    <w:p>
      <w:pPr>
        <w:pStyle w:val="Heading1"/>
        <w:spacing w:after="180" w:before="360"/>
      </w:pPr>
      <w:r>
        <w:rPr>
          <w:rFonts w:ascii="Arial" w:cs="Arial" w:eastAsia="Arial" w:hAnsi="Arial"/>
          <w:b/>
          <w:bCs/>
          <w:color w:val="0A6640"/>
          <w:sz w:val="32"/>
          <w:szCs w:val="32"/>
        </w:rPr>
        <w:t xml:space="preserve">6. Setup &amp; Usage Guide</w:t>
      </w:r>
    </w:p>
    <w:p>
      <w:pPr>
        <w:pStyle w:val="Heading2"/>
        <w:spacing w:after="120" w:before="240"/>
      </w:pPr>
      <w:r>
        <w:rPr>
          <w:rFonts w:ascii="Arial" w:cs="Arial" w:eastAsia="Arial" w:hAnsi="Arial"/>
          <w:b/>
          <w:bCs/>
          <w:color w:val="0A6640"/>
          <w:sz w:val="26"/>
          <w:szCs w:val="26"/>
        </w:rPr>
        <w:t xml:space="preserve">6.1 Prerequisites</w:t>
      </w:r>
    </w:p>
    <w:p>
      <w:pPr>
        <w:pStyle w:val="ListParagraph"/>
        <w:numPr>
          <w:ilvl w:val="0"/>
          <w:numId w:val="2"/>
        </w:numPr>
        <w:spacing w:after="60" w:before="40"/>
      </w:pPr>
      <w:r>
        <w:rPr>
          <w:rFonts w:ascii="Arial" w:cs="Arial" w:eastAsia="Arial" w:hAnsi="Arial"/>
          <w:sz w:val="22"/>
          <w:szCs w:val="22"/>
        </w:rPr>
        <w:t xml:space="preserve">Python 3.8 or higher</w:t>
      </w:r>
    </w:p>
    <w:p>
      <w:pPr>
        <w:pStyle w:val="ListParagraph"/>
        <w:numPr>
          <w:ilvl w:val="0"/>
          <w:numId w:val="2"/>
        </w:numPr>
        <w:spacing w:after="60" w:before="40"/>
      </w:pPr>
      <w:r>
        <w:rPr>
          <w:rFonts w:ascii="Arial" w:cs="Arial" w:eastAsia="Arial" w:hAnsi="Arial"/>
          <w:sz w:val="22"/>
          <w:szCs w:val="22"/>
        </w:rPr>
        <w:t xml:space="preserve">Anthropic API key (set as ANTHROPIC_API_KEY environment variable)</w:t>
      </w:r>
    </w:p>
    <w:p>
      <w:pPr>
        <w:pStyle w:val="ListParagraph"/>
        <w:numPr>
          <w:ilvl w:val="0"/>
          <w:numId w:val="2"/>
        </w:numPr>
        <w:spacing w:after="60" w:before="40"/>
      </w:pPr>
      <w:r>
        <w:rPr>
          <w:rFonts w:ascii="Arial" w:cs="Arial" w:eastAsia="Arial" w:hAnsi="Arial"/>
          <w:sz w:val="22"/>
          <w:szCs w:val="22"/>
        </w:rPr>
        <w:t xml:space="preserve">No external Python dependencies required — uses only stdlib modules</w:t>
      </w:r>
    </w:p>
    <w:p>
      <w:pPr>
        <w:pStyle w:val="Heading2"/>
        <w:spacing w:after="120" w:before="240"/>
      </w:pPr>
      <w:r>
        <w:rPr>
          <w:rFonts w:ascii="Arial" w:cs="Arial" w:eastAsia="Arial" w:hAnsi="Arial"/>
          <w:b/>
          <w:bCs/>
          <w:color w:val="0A6640"/>
          <w:sz w:val="26"/>
          <w:szCs w:val="26"/>
        </w:rPr>
        <w:t xml:space="preserve">6.2 Installation &amp; Execution</w:t>
      </w:r>
    </w:p>
    <w:p>
      <w:pPr>
        <w:spacing w:after="120" w:before="60"/>
        <w:jc w:val="both"/>
      </w:pPr>
      <w:r>
        <w:rPr>
          <w:rFonts w:ascii="Arial" w:cs="Arial" w:eastAsia="Arial" w:hAnsi="Arial"/>
          <w:sz w:val="22"/>
          <w:szCs w:val="22"/>
        </w:rPr>
        <w:t xml:space="preserve">Step 1: Clone or download project4_financial_system.py to your working directory.</w:t>
      </w:r>
    </w:p>
    <w:p>
      <w:pPr>
        <w:spacing w:after="60" w:before="60"/>
      </w:pPr>
      <w:r>
        <w:t xml:space="preserve"/>
      </w:r>
    </w:p>
    <w:p>
      <w:pPr>
        <w:spacing w:after="120" w:before="60"/>
        <w:jc w:val="both"/>
      </w:pPr>
      <w:r>
        <w:rPr>
          <w:rFonts w:ascii="Arial" w:cs="Arial" w:eastAsia="Arial" w:hAnsi="Arial"/>
          <w:sz w:val="22"/>
          <w:szCs w:val="22"/>
        </w:rPr>
        <w:t xml:space="preserve">Step 2: Set your Anthropic API key:</w:t>
      </w:r>
    </w:p>
    <w:p>
      <w:pPr>
        <w:shd w:fill="F4F4F4" w:val="clear"/>
        <w:spacing w:after="40" w:before="40"/>
      </w:pPr>
      <w:r>
        <w:rPr>
          <w:rFonts w:ascii="Courier New" w:cs="Courier New" w:eastAsia="Courier New" w:hAnsi="Courier New"/>
          <w:color w:val="1A1A2E"/>
          <w:sz w:val="18"/>
          <w:szCs w:val="18"/>
        </w:rPr>
        <w:t xml:space="preserve">  export ANTHROPIC_API_KEY='your-api-key-here'          # Linux/macOS</w:t>
      </w:r>
    </w:p>
    <w:p>
      <w:pPr>
        <w:shd w:fill="F4F4F4" w:val="clear"/>
        <w:spacing w:after="40" w:before="40"/>
      </w:pPr>
      <w:r>
        <w:rPr>
          <w:rFonts w:ascii="Courier New" w:cs="Courier New" w:eastAsia="Courier New" w:hAnsi="Courier New"/>
          <w:color w:val="1A1A2E"/>
          <w:sz w:val="18"/>
          <w:szCs w:val="18"/>
        </w:rPr>
        <w:t xml:space="preserve">  set ANTHROPIC_API_KEY=your-api-key-here               # Windows</w:t>
      </w:r>
    </w:p>
    <w:p>
      <w:pPr>
        <w:spacing w:after="60" w:before="60"/>
      </w:pPr>
      <w:r>
        <w:t xml:space="preserve"/>
      </w:r>
    </w:p>
    <w:p>
      <w:pPr>
        <w:spacing w:after="120" w:before="60"/>
        <w:jc w:val="both"/>
      </w:pPr>
      <w:r>
        <w:rPr>
          <w:rFonts w:ascii="Arial" w:cs="Arial" w:eastAsia="Arial" w:hAnsi="Arial"/>
          <w:sz w:val="22"/>
          <w:szCs w:val="22"/>
        </w:rPr>
        <w:t xml:space="preserve">Step 3: Run the system:</w:t>
      </w:r>
    </w:p>
    <w:p>
      <w:pPr>
        <w:shd w:fill="F4F4F4" w:val="clear"/>
        <w:spacing w:after="40" w:before="40"/>
      </w:pPr>
      <w:r>
        <w:rPr>
          <w:rFonts w:ascii="Courier New" w:cs="Courier New" w:eastAsia="Courier New" w:hAnsi="Courier New"/>
          <w:color w:val="1A1A2E"/>
          <w:sz w:val="18"/>
          <w:szCs w:val="18"/>
        </w:rPr>
        <w:t xml:space="preserve">  python3 project4_financial_system.py</w:t>
      </w:r>
    </w:p>
    <w:p>
      <w:pPr>
        <w:spacing w:after="60" w:before="60"/>
      </w:pPr>
      <w:r>
        <w:t xml:space="preserve"/>
      </w:r>
    </w:p>
    <w:p>
      <w:pPr>
        <w:spacing w:after="120" w:before="60"/>
        <w:jc w:val="both"/>
      </w:pPr>
      <w:r>
        <w:rPr>
          <w:rFonts w:ascii="Arial" w:cs="Arial" w:eastAsia="Arial" w:hAnsi="Arial"/>
          <w:sz w:val="22"/>
          <w:szCs w:val="22"/>
        </w:rPr>
        <w:t xml:space="preserve">Step 4: The report is printed to stdout and saved as financial_report_output.txt in the working directory.</w:t>
      </w:r>
    </w:p>
    <w:p>
      <w:pPr>
        <w:pStyle w:val="Heading2"/>
        <w:spacing w:after="120" w:before="240"/>
      </w:pPr>
      <w:r>
        <w:rPr>
          <w:rFonts w:ascii="Arial" w:cs="Arial" w:eastAsia="Arial" w:hAnsi="Arial"/>
          <w:b/>
          <w:bCs/>
          <w:color w:val="0A6640"/>
          <w:sz w:val="26"/>
          <w:szCs w:val="26"/>
        </w:rPr>
        <w:t xml:space="preserve">6.3 Customizing for Real Financial Data</w:t>
      </w:r>
    </w:p>
    <w:p>
      <w:pPr>
        <w:spacing w:after="120" w:before="60"/>
        <w:jc w:val="both"/>
      </w:pPr>
      <w:r>
        <w:rPr>
          <w:rFonts w:ascii="Arial" w:cs="Arial" w:eastAsia="Arial" w:hAnsi="Arial"/>
          <w:sz w:val="22"/>
          <w:szCs w:val="22"/>
        </w:rPr>
        <w:t xml:space="preserve">To use the system with real financial data, modify the data dictionaries in Section 1 of the script:</w:t>
      </w:r>
    </w:p>
    <w:p>
      <w:pPr>
        <w:pStyle w:val="ListParagraph"/>
        <w:numPr>
          <w:ilvl w:val="0"/>
          <w:numId w:val="2"/>
        </w:numPr>
        <w:spacing w:after="60" w:before="40"/>
      </w:pPr>
      <w:r>
        <w:rPr>
          <w:rFonts w:ascii="Arial" w:cs="Arial" w:eastAsia="Arial" w:hAnsi="Arial"/>
          <w:sz w:val="22"/>
          <w:szCs w:val="22"/>
        </w:rPr>
        <w:t xml:space="preserve">QUARTERLY_DATA: Replace with actual quarterly revenue, COGS, OPEX, and R&amp;D figures from the income statement</w:t>
      </w:r>
    </w:p>
    <w:p>
      <w:pPr>
        <w:pStyle w:val="ListParagraph"/>
        <w:numPr>
          <w:ilvl w:val="0"/>
          <w:numId w:val="2"/>
        </w:numPr>
        <w:spacing w:after="60" w:before="40"/>
      </w:pPr>
      <w:r>
        <w:rPr>
          <w:rFonts w:ascii="Arial" w:cs="Arial" w:eastAsia="Arial" w:hAnsi="Arial"/>
          <w:sz w:val="22"/>
          <w:szCs w:val="22"/>
        </w:rPr>
        <w:t xml:space="preserve">BALANCE_SHEET: Populate with year-end balance sheet line items from the annual report</w:t>
      </w:r>
    </w:p>
    <w:p>
      <w:pPr>
        <w:pStyle w:val="ListParagraph"/>
        <w:numPr>
          <w:ilvl w:val="0"/>
          <w:numId w:val="2"/>
        </w:numPr>
        <w:spacing w:after="60" w:before="40"/>
      </w:pPr>
      <w:r>
        <w:rPr>
          <w:rFonts w:ascii="Arial" w:cs="Arial" w:eastAsia="Arial" w:hAnsi="Arial"/>
          <w:sz w:val="22"/>
          <w:szCs w:val="22"/>
        </w:rPr>
        <w:t xml:space="preserve">CASH_FLOW: Update with cash flow statement figures (investing activities as negative values)</w:t>
      </w:r>
    </w:p>
    <w:p>
      <w:pPr>
        <w:pStyle w:val="ListParagraph"/>
        <w:numPr>
          <w:ilvl w:val="0"/>
          <w:numId w:val="2"/>
        </w:numPr>
        <w:spacing w:after="60" w:before="40"/>
      </w:pPr>
      <w:r>
        <w:rPr>
          <w:rFonts w:ascii="Arial" w:cs="Arial" w:eastAsia="Arial" w:hAnsi="Arial"/>
          <w:sz w:val="22"/>
          <w:szCs w:val="22"/>
        </w:rPr>
        <w:t xml:space="preserve">MARKET_DATA: Update with current share price, shares outstanding, and market data</w:t>
      </w:r>
    </w:p>
    <w:p>
      <w:pPr>
        <w:spacing w:after="60" w:before="60"/>
      </w:pPr>
      <w:r>
        <w:t xml:space="preserve"/>
      </w:r>
    </w:p>
    <w:p>
      <w:pPr>
        <w:spacing w:after="120" w:before="60"/>
        <w:jc w:val="both"/>
      </w:pPr>
      <w:r>
        <w:rPr>
          <w:rFonts w:ascii="Arial" w:cs="Arial" w:eastAsia="Arial" w:hAnsi="Arial"/>
          <w:sz w:val="22"/>
          <w:szCs w:val="22"/>
        </w:rPr>
        <w:t xml:space="preserve">For production deployment, these data dictionaries should be replaced with database queries or API calls to financial data providers such as Bloomberg, Refinitiv, or SEC EDGAR.</w:t>
      </w:r>
    </w:p>
    <w:p>
      <w:pPr>
        <w:pStyle w:val="Heading2"/>
        <w:spacing w:after="120" w:before="240"/>
      </w:pPr>
      <w:r>
        <w:rPr>
          <w:rFonts w:ascii="Arial" w:cs="Arial" w:eastAsia="Arial" w:hAnsi="Arial"/>
          <w:b/>
          <w:bCs/>
          <w:color w:val="0A6640"/>
          <w:sz w:val="26"/>
          <w:szCs w:val="26"/>
        </w:rPr>
        <w:t xml:space="preserve">6.4 Extending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6200"/>
            <w:tcBorders>
              <w:top w:val="single" w:color="0A6640" w:sz="1"/>
              <w:left w:val="single" w:color="0A6640" w:sz="1"/>
              <w:bottom w:val="single" w:color="0A6640" w:sz="1"/>
              <w:right w:val="single" w:color="0A6640" w:sz="1"/>
            </w:tcBorders>
            <w:shd w:fill="0A6640" w:val="clear"/>
            <w:tcMar>
              <w:top w:type="dxa" w:w="80"/>
              <w:left w:type="dxa" w:w="120"/>
              <w:bottom w:type="dxa" w:w="80"/>
              <w:right w:type="dxa" w:w="120"/>
            </w:tcMar>
          </w:tcPr>
          <w:p>
            <w:r>
              <w:rPr>
                <w:rFonts w:ascii="Arial" w:cs="Arial" w:eastAsia="Arial" w:hAnsi="Arial"/>
                <w:b/>
                <w:bCs/>
                <w:color w:val="FFFFFF"/>
                <w:sz w:val="20"/>
                <w:szCs w:val="20"/>
              </w:rPr>
              <w:t xml:space="preserve">How to Implement</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Multi-company comparison</w:t>
            </w:r>
          </w:p>
        </w:tc>
        <w:tc>
          <w:tcPr>
            <w:tcW w:type="dxa" w:w="6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Loop over a list of company data dicts; call compute_financials() for each; add comparative tables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Excel/CSV data input</w:t>
            </w:r>
          </w:p>
        </w:tc>
        <w:tc>
          <w:tcPr>
            <w:tcW w:type="dxa" w:w="6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Replace data dict literals with pandas.read_csv() or openpyxl calls; map to existing dict structure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PDF report output</w:t>
            </w:r>
          </w:p>
        </w:tc>
        <w:tc>
          <w:tcPr>
            <w:tcW w:type="dxa" w:w="6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Pass report_lines list to reportlab or WeasyHTML for PDF rendering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Real-time market data</w:t>
            </w:r>
          </w:p>
        </w:tc>
        <w:tc>
          <w:tcPr>
            <w:tcW w:type="dxa" w:w="6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Replace MARKET_DATA dict with calls to a financial API (e.g., Yahoo Finance, Alpha Vantage)</w:t>
            </w:r>
          </w:p>
        </w:tc>
      </w:tr>
      <w:tr>
        <w:tc>
          <w:tcPr>
            <w:tcW w:type="dxa" w:w="28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Database integration</w:t>
            </w:r>
          </w:p>
        </w:tc>
        <w:tc>
          <w:tcPr>
            <w:tcW w:type="dxa" w:w="6200"/>
            <w:tcBorders>
              <w:top w:val="single" w:color="DDDDDD" w:sz="1"/>
              <w:left w:val="single" w:color="DDDDDD" w:sz="1"/>
              <w:bottom w:val="single" w:color="DDDDDD" w:sz="1"/>
              <w:right w:val="single" w:color="DDDDDD" w:sz="1"/>
            </w:tcBorders>
            <w:shd w:fill="E8F5EE" w:val="clear"/>
            <w:tcMar>
              <w:top w:type="dxa" w:w="80"/>
              <w:left w:type="dxa" w:w="120"/>
              <w:bottom w:type="dxa" w:w="80"/>
              <w:right w:type="dxa" w:w="120"/>
            </w:tcMar>
          </w:tcPr>
          <w:p>
            <w:r>
              <w:rPr>
                <w:rFonts w:ascii="Arial" w:cs="Arial" w:eastAsia="Arial" w:hAnsi="Arial"/>
                <w:sz w:val="20"/>
                <w:szCs w:val="20"/>
              </w:rPr>
              <w:t xml:space="preserve">Replace data dicts with SQLAlchemy queries against an operational data warehouse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Scheduled reports</w:t>
            </w:r>
          </w:p>
        </w:tc>
        <w:tc>
          <w:tcPr>
            <w:tcW w:type="dxa" w:w="6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Wrap main() in a cron job or Azure Function for daily/weekly automated delivery</w:t>
            </w:r>
          </w:p>
        </w:tc>
      </w:tr>
    </w:tbl>
    <w:p>
      <w:r>
        <w:br w:type="page"/>
      </w:r>
    </w:p>
    <w:p>
      <w:pPr>
        <w:pStyle w:val="Heading1"/>
        <w:spacing w:after="180" w:before="360"/>
      </w:pPr>
      <w:r>
        <w:rPr>
          <w:rFonts w:ascii="Arial" w:cs="Arial" w:eastAsia="Arial" w:hAnsi="Arial"/>
          <w:b/>
          <w:bCs/>
          <w:color w:val="0A6640"/>
          <w:sz w:val="32"/>
          <w:szCs w:val="32"/>
        </w:rPr>
        <w:t xml:space="preserve">7. Limitations &amp; Future Enhancements</w:t>
      </w:r>
    </w:p>
    <w:p>
      <w:pPr>
        <w:pStyle w:val="Heading2"/>
        <w:spacing w:after="120" w:before="240"/>
      </w:pPr>
      <w:r>
        <w:rPr>
          <w:rFonts w:ascii="Arial" w:cs="Arial" w:eastAsia="Arial" w:hAnsi="Arial"/>
          <w:b/>
          <w:bCs/>
          <w:color w:val="0A6640"/>
          <w:sz w:val="26"/>
          <w:szCs w:val="26"/>
        </w:rPr>
        <w:t xml:space="preserve">7.1 Current Limitations</w:t>
      </w:r>
    </w:p>
    <w:p>
      <w:pPr>
        <w:pStyle w:val="ListParagraph"/>
        <w:numPr>
          <w:ilvl w:val="0"/>
          <w:numId w:val="2"/>
        </w:numPr>
        <w:spacing w:after="60" w:before="40"/>
      </w:pPr>
      <w:r>
        <w:rPr>
          <w:rFonts w:ascii="Arial" w:cs="Arial" w:eastAsia="Arial" w:hAnsi="Arial"/>
          <w:sz w:val="22"/>
          <w:szCs w:val="22"/>
        </w:rPr>
        <w:t xml:space="preserve">Single-company scope: The current implementation analyzes one company at a time; comparative multi-company analysis requires architectural extension</w:t>
      </w:r>
    </w:p>
    <w:p>
      <w:pPr>
        <w:pStyle w:val="ListParagraph"/>
        <w:numPr>
          <w:ilvl w:val="0"/>
          <w:numId w:val="2"/>
        </w:numPr>
        <w:spacing w:after="60" w:before="40"/>
      </w:pPr>
      <w:r>
        <w:rPr>
          <w:rFonts w:ascii="Arial" w:cs="Arial" w:eastAsia="Arial" w:hAnsi="Arial"/>
          <w:sz w:val="22"/>
          <w:szCs w:val="22"/>
        </w:rPr>
        <w:t xml:space="preserve">Static data: Financial data is hardcoded; production use requires integration with live financial data sources</w:t>
      </w:r>
    </w:p>
    <w:p>
      <w:pPr>
        <w:pStyle w:val="ListParagraph"/>
        <w:numPr>
          <w:ilvl w:val="0"/>
          <w:numId w:val="2"/>
        </w:numPr>
        <w:spacing w:after="60" w:before="40"/>
      </w:pPr>
      <w:r>
        <w:rPr>
          <w:rFonts w:ascii="Arial" w:cs="Arial" w:eastAsia="Arial" w:hAnsi="Arial"/>
          <w:sz w:val="22"/>
          <w:szCs w:val="22"/>
        </w:rPr>
        <w:t xml:space="preserve">Single segment: The system assumes a single-segment company; multi-segment income statement analysis would require additional data structures</w:t>
      </w:r>
    </w:p>
    <w:p>
      <w:pPr>
        <w:pStyle w:val="ListParagraph"/>
        <w:numPr>
          <w:ilvl w:val="0"/>
          <w:numId w:val="2"/>
        </w:numPr>
        <w:spacing w:after="60" w:before="40"/>
      </w:pPr>
      <w:r>
        <w:rPr>
          <w:rFonts w:ascii="Arial" w:cs="Arial" w:eastAsia="Arial" w:hAnsi="Arial"/>
          <w:sz w:val="22"/>
          <w:szCs w:val="22"/>
        </w:rPr>
        <w:t xml:space="preserve">Tax rate assumption: A fixed 21% effective tax rate is used; actual ETRs vary and should be sourced from company filings</w:t>
      </w:r>
    </w:p>
    <w:p>
      <w:pPr>
        <w:pStyle w:val="ListParagraph"/>
        <w:numPr>
          <w:ilvl w:val="0"/>
          <w:numId w:val="2"/>
        </w:numPr>
        <w:spacing w:after="60" w:before="40"/>
      </w:pPr>
      <w:r>
        <w:rPr>
          <w:rFonts w:ascii="Arial" w:cs="Arial" w:eastAsia="Arial" w:hAnsi="Arial"/>
          <w:sz w:val="22"/>
          <w:szCs w:val="22"/>
        </w:rPr>
        <w:t xml:space="preserve">Currency: All figures are assumed to be in a single currency (USD); multi-currency companies require FX translation logic</w:t>
      </w:r>
    </w:p>
    <w:p>
      <w:pPr>
        <w:pStyle w:val="Heading2"/>
        <w:spacing w:after="120" w:before="240"/>
      </w:pPr>
      <w:r>
        <w:rPr>
          <w:rFonts w:ascii="Arial" w:cs="Arial" w:eastAsia="Arial" w:hAnsi="Arial"/>
          <w:b/>
          <w:bCs/>
          <w:color w:val="0A6640"/>
          <w:sz w:val="26"/>
          <w:szCs w:val="26"/>
        </w:rPr>
        <w:t xml:space="preserve">7.2 Planned Enhancements</w:t>
      </w:r>
    </w:p>
    <w:p>
      <w:pPr>
        <w:pStyle w:val="ListParagraph"/>
        <w:numPr>
          <w:ilvl w:val="0"/>
          <w:numId w:val="2"/>
        </w:numPr>
        <w:spacing w:after="60" w:before="40"/>
      </w:pPr>
      <w:r>
        <w:rPr>
          <w:rFonts w:ascii="Arial" w:cs="Arial" w:eastAsia="Arial" w:hAnsi="Arial"/>
          <w:sz w:val="22"/>
          <w:szCs w:val="22"/>
        </w:rPr>
        <w:t xml:space="preserve">Natural language query interface: Allow users to ask free-form questions about the financial data, answered by the AI using computed metrics</w:t>
      </w:r>
    </w:p>
    <w:p>
      <w:pPr>
        <w:pStyle w:val="ListParagraph"/>
        <w:numPr>
          <w:ilvl w:val="0"/>
          <w:numId w:val="2"/>
        </w:numPr>
        <w:spacing w:after="60" w:before="40"/>
      </w:pPr>
      <w:r>
        <w:rPr>
          <w:rFonts w:ascii="Arial" w:cs="Arial" w:eastAsia="Arial" w:hAnsi="Arial"/>
          <w:sz w:val="22"/>
          <w:szCs w:val="22"/>
        </w:rPr>
        <w:t xml:space="preserve">Peer benchmarking: Integrate industry-level data to provide automatic peer comparison tables</w:t>
      </w:r>
    </w:p>
    <w:p>
      <w:pPr>
        <w:pStyle w:val="ListParagraph"/>
        <w:numPr>
          <w:ilvl w:val="0"/>
          <w:numId w:val="2"/>
        </w:numPr>
        <w:spacing w:after="60" w:before="40"/>
      </w:pPr>
      <w:r>
        <w:rPr>
          <w:rFonts w:ascii="Arial" w:cs="Arial" w:eastAsia="Arial" w:hAnsi="Arial"/>
          <w:sz w:val="22"/>
          <w:szCs w:val="22"/>
        </w:rPr>
        <w:t xml:space="preserve">Time-series analysis: Extend to multi-year data with trend forecasting using statistical models</w:t>
      </w:r>
    </w:p>
    <w:p>
      <w:pPr>
        <w:pStyle w:val="ListParagraph"/>
        <w:numPr>
          <w:ilvl w:val="0"/>
          <w:numId w:val="2"/>
        </w:numPr>
        <w:spacing w:after="60" w:before="40"/>
      </w:pPr>
      <w:r>
        <w:rPr>
          <w:rFonts w:ascii="Arial" w:cs="Arial" w:eastAsia="Arial" w:hAnsi="Arial"/>
          <w:sz w:val="22"/>
          <w:szCs w:val="22"/>
        </w:rPr>
        <w:t xml:space="preserve">Rich output formats: Add PDF, Excel, and DOCX report output modes</w:t>
      </w:r>
    </w:p>
    <w:p>
      <w:pPr>
        <w:pStyle w:val="ListParagraph"/>
        <w:numPr>
          <w:ilvl w:val="0"/>
          <w:numId w:val="2"/>
        </w:numPr>
        <w:spacing w:after="60" w:before="40"/>
      </w:pPr>
      <w:r>
        <w:rPr>
          <w:rFonts w:ascii="Arial" w:cs="Arial" w:eastAsia="Arial" w:hAnsi="Arial"/>
          <w:sz w:val="22"/>
          <w:szCs w:val="22"/>
        </w:rPr>
        <w:t xml:space="preserve">Interactive dashboard: Build a web-based front-end using Flask/FastAPI with Chart.js visualizations</w:t>
      </w:r>
    </w:p>
    <w:p>
      <w:pPr>
        <w:pStyle w:val="ListParagraph"/>
        <w:numPr>
          <w:ilvl w:val="0"/>
          <w:numId w:val="2"/>
        </w:numPr>
        <w:spacing w:after="60" w:before="40"/>
      </w:pPr>
      <w:r>
        <w:rPr>
          <w:rFonts w:ascii="Arial" w:cs="Arial" w:eastAsia="Arial" w:hAnsi="Arial"/>
          <w:sz w:val="22"/>
          <w:szCs w:val="22"/>
        </w:rPr>
        <w:t xml:space="preserve">Anomaly detection: Use statistical methods to automatically flag unusual financial metrics that may warrant investigation</w:t>
      </w:r>
    </w:p>
    <w:p>
      <w:r>
        <w:br w:type="page"/>
      </w:r>
    </w:p>
    <w:p>
      <w:pPr>
        <w:pStyle w:val="Heading1"/>
        <w:spacing w:after="180" w:before="360"/>
      </w:pPr>
      <w:r>
        <w:rPr>
          <w:rFonts w:ascii="Arial" w:cs="Arial" w:eastAsia="Arial" w:hAnsi="Arial"/>
          <w:b/>
          <w:bCs/>
          <w:color w:val="0A6640"/>
          <w:sz w:val="32"/>
          <w:szCs w:val="32"/>
        </w:rPr>
        <w:t xml:space="preserve">8. Conclusion</w:t>
      </w:r>
    </w:p>
    <w:p>
      <w:pPr>
        <w:spacing w:after="120" w:before="60"/>
        <w:jc w:val="both"/>
      </w:pPr>
      <w:r>
        <w:rPr>
          <w:rFonts w:ascii="Arial" w:cs="Arial" w:eastAsia="Arial" w:hAnsi="Arial"/>
          <w:sz w:val="22"/>
          <w:szCs w:val="22"/>
        </w:rPr>
        <w:t xml:space="preserve">The Financial Report Generation System demonstrates the powerful synergy between systematic financial computation and Generative AI's natural language capabilities. By decomposing the financial reporting task into clear computational and communicative layers, the system achieves both the precision of quantitative analysis and the clarity of expert narrative—two qualities that are difficult to achieve independently and invaluable together.</w:t>
      </w:r>
    </w:p>
    <w:p>
      <w:pPr>
        <w:spacing w:after="60" w:before="60"/>
      </w:pPr>
      <w:r>
        <w:t xml:space="preserve"/>
      </w:r>
    </w:p>
    <w:p>
      <w:pPr>
        <w:spacing w:after="120" w:before="60"/>
        <w:jc w:val="both"/>
      </w:pPr>
      <w:r>
        <w:rPr>
          <w:rFonts w:ascii="Arial" w:cs="Arial" w:eastAsia="Arial" w:hAnsi="Arial"/>
          <w:sz w:val="22"/>
          <w:szCs w:val="22"/>
        </w:rPr>
        <w:t xml:space="preserve">The system's modular design makes it practical for real-world deployment: financial data sources can be swapped without changing the computation or AI layers, AI prompts can be refined independently of the data processing, and output formats can be extended without affecting upstream processing. The graceful degradation to quantitative-only output when AI services are unavailable ensures the system remains useful even in degraded conditions.</w:t>
      </w:r>
    </w:p>
    <w:p>
      <w:pPr>
        <w:spacing w:after="60" w:before="60"/>
      </w:pPr>
      <w:r>
        <w:t xml:space="preserve"/>
      </w:r>
    </w:p>
    <w:p>
      <w:pPr>
        <w:spacing w:after="120" w:before="60"/>
        <w:jc w:val="both"/>
      </w:pPr>
      <w:r>
        <w:rPr>
          <w:rFonts w:ascii="Arial" w:cs="Arial" w:eastAsia="Arial" w:hAnsi="Arial"/>
          <w:sz w:val="22"/>
          <w:szCs w:val="22"/>
        </w:rPr>
        <w:t xml:space="preserve">As Generative AI models continue to improve in their understanding of financial concepts and their ability to generate accurate, nuanced analysis, systems like this will become an essential part of the financial analyst's toolkit—not replacing human judgment, but dramatically accelerating the routine work of data compilation and initial analysis, freeing analysts to focus on the higher-order tasks of interpretation, strategy, and decision-making.</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Financial Report Generation System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40" w:sz="6" w:space="1"/>
      </w:pBdr>
      <w:tabs>
        <w:tab w:val="right" w:pos="8640"/>
      </w:tabs>
    </w:pPr>
    <w:r>
      <w:rPr>
        <w:rFonts w:ascii="Arial" w:cs="Arial" w:eastAsia="Arial" w:hAnsi="Arial"/>
        <w:b/>
        <w:bCs/>
        <w:color w:val="0A6640"/>
        <w:sz w:val="18"/>
        <w:szCs w:val="18"/>
      </w:rPr>
      <w:t xml:space="preserve">Financial Report Generation System – Implementation Report</w:t>
    </w:r>
    <w:r>
      <w:rPr>
        <w:sz w:val="18"/>
        <w:szCs w:val="18"/>
      </w:rPr>
      <w:t xml:space="preserve">		</w:t>
    </w:r>
    <w:r>
      <w:rPr>
        <w:rFonts w:ascii="Arial" w:cs="Arial" w:eastAsia="Arial" w:hAnsi="Arial"/>
        <w:color w:val="666666"/>
        <w:sz w:val="18"/>
        <w:szCs w:val="18"/>
      </w:rPr>
      <w:t xml:space="preserve">Project 4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664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A66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2026-04-13T15:02:20.598Z</dcterms:created>
  <dcterms:modified xsi:type="dcterms:W3CDTF">2026-04-13T15:02:20.599Z</dcterms:modified>
</cp:coreProperties>
</file>

<file path=docProps/custom.xml><?xml version="1.0" encoding="utf-8"?>
<Properties xmlns="http://schemas.openxmlformats.org/officeDocument/2006/custom-properties" xmlns:vt="http://schemas.openxmlformats.org/officeDocument/2006/docPropsVTypes"/>
</file>