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OPERATION HYDRA</w:t>
      </w:r>
    </w:p>
    <w:p>
      <w:pPr>
        <w:jc w:val="center"/>
      </w:pPr>
      <w:r>
        <w:rPr>
          <w:b/>
          <w:sz w:val="32"/>
        </w:rPr>
        <w:t>Final Legal-Technical Cybercrime Investigation Report</w:t>
      </w:r>
    </w:p>
    <w:p>
      <w:pPr>
        <w:jc w:val="center"/>
      </w:pPr>
      <w:r>
        <w:rPr>
          <w:sz w:val="26"/>
        </w:rPr>
        <w:t>Assignment 2 – Unit 2: Types of Cyber Crimes</w:t>
        <w:br/>
      </w:r>
      <w:r>
        <w:rPr>
          <w:sz w:val="22"/>
        </w:rPr>
        <w:t>Incident ID: HYDRA-2026-001 | Academic Simulation</w:t>
        <w:br/>
      </w:r>
      <w:r>
        <w:rPr>
          <w:i/>
        </w:rPr>
        <w:t>All evidence is synthetic; no real victim, account, malware or infrastructure was used.</w:t>
      </w:r>
    </w:p>
    <w:p>
      <w:r>
        <w:br w:type="page"/>
      </w:r>
    </w:p>
    <w:p>
      <w:pPr>
        <w:pStyle w:val="Heading1"/>
      </w:pPr>
      <w:r>
        <w:t>1. Executive Summary</w:t>
      </w:r>
    </w:p>
    <w:p>
      <w:r>
        <w:t>Operation Hydra is a controlled academic simulation of a multi-vector cybercrime campaign combining phishing, sender spoofing, simulated malware delivery, credential compromise and financial fraud. Three synthetic emails were analyzed for headers, IP indicators, suspicious URLs and simulated SPF/DKIM/DMARC results. An inert text artifact was used for malware IOC extraction, followed by synthetic transaction analysis demonstrating a victim-to-mule-to-crypto funnel.</w:t>
      </w:r>
    </w:p>
    <w:p>
      <w:r>
        <w:t>The project emphasizes evidence preservation, repeatable scripts, SHA-256 integrity verification, legal mapping and ethical limitations. Reserved .example domains and documentation IP ranges were used so that no real target was investigated.</w:t>
      </w:r>
    </w:p>
    <w:p>
      <w:pPr>
        <w:pStyle w:val="Heading1"/>
      </w:pPr>
      <w:r>
        <w:t>2. Cybercrime Decomposition &amp; Mapping</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tcPr>
          <w:p>
            <w:r>
              <w:t>Crime</w:t>
            </w:r>
          </w:p>
        </w:tc>
        <w:tc>
          <w:tcPr>
            <w:tcW w:type="dxa" w:w="2016"/>
          </w:tcPr>
          <w:p>
            <w:r>
              <w:t>Stage</w:t>
            </w:r>
          </w:p>
        </w:tc>
        <w:tc>
          <w:tcPr>
            <w:tcW w:type="dxa" w:w="2016"/>
          </w:tcPr>
          <w:p>
            <w:r>
              <w:t>Evidence</w:t>
            </w:r>
          </w:p>
        </w:tc>
        <w:tc>
          <w:tcPr>
            <w:tcW w:type="dxa" w:w="2016"/>
          </w:tcPr>
          <w:p>
            <w:r>
              <w:t>Indian legal context</w:t>
            </w:r>
          </w:p>
        </w:tc>
        <w:tc>
          <w:tcPr>
            <w:tcW w:type="dxa" w:w="2016"/>
          </w:tcPr>
          <w:p>
            <w:r>
              <w:t>Global context</w:t>
            </w:r>
          </w:p>
        </w:tc>
      </w:tr>
      <w:tr>
        <w:tc>
          <w:tcPr>
            <w:tcW w:type="dxa" w:w="2016"/>
          </w:tcPr>
          <w:p>
            <w:r>
              <w:t>Phishing</w:t>
            </w:r>
          </w:p>
        </w:tc>
        <w:tc>
          <w:tcPr>
            <w:tcW w:type="dxa" w:w="2016"/>
          </w:tcPr>
          <w:p>
            <w:r>
              <w:t>Initial access</w:t>
            </w:r>
          </w:p>
        </w:tc>
        <w:tc>
          <w:tcPr>
            <w:tcW w:type="dxa" w:w="2016"/>
          </w:tcPr>
          <w:p>
            <w:r>
              <w:t>3 synthetic emails</w:t>
            </w:r>
          </w:p>
        </w:tc>
        <w:tc>
          <w:tcPr>
            <w:tcW w:type="dxa" w:w="2016"/>
          </w:tcPr>
          <w:p>
            <w:r>
              <w:t>IT Act + applicable criminal law</w:t>
            </w:r>
          </w:p>
        </w:tc>
        <w:tc>
          <w:tcPr>
            <w:tcW w:type="dxa" w:w="2016"/>
          </w:tcPr>
          <w:p>
            <w:r>
              <w:t>Budapest Convention / fraud laws</w:t>
            </w:r>
          </w:p>
        </w:tc>
      </w:tr>
      <w:tr>
        <w:tc>
          <w:tcPr>
            <w:tcW w:type="dxa" w:w="2016"/>
          </w:tcPr>
          <w:p>
            <w:r>
              <w:t>Spoofing / personation</w:t>
            </w:r>
          </w:p>
        </w:tc>
        <w:tc>
          <w:tcPr>
            <w:tcW w:type="dxa" w:w="2016"/>
          </w:tcPr>
          <w:p>
            <w:r>
              <w:t>Identity deception</w:t>
            </w:r>
          </w:p>
        </w:tc>
        <w:tc>
          <w:tcPr>
            <w:tcW w:type="dxa" w:w="2016"/>
          </w:tcPr>
          <w:p>
            <w:r>
              <w:t>Headers + auth results</w:t>
            </w:r>
          </w:p>
        </w:tc>
        <w:tc>
          <w:tcPr>
            <w:tcW w:type="dxa" w:w="2016"/>
          </w:tcPr>
          <w:p>
            <w:r>
              <w:t>IT Act s.66D where established</w:t>
            </w:r>
          </w:p>
        </w:tc>
        <w:tc>
          <w:tcPr>
            <w:tcW w:type="dxa" w:w="2016"/>
          </w:tcPr>
          <w:p>
            <w:r>
              <w:t>Budapest Convention concepts</w:t>
            </w:r>
          </w:p>
        </w:tc>
      </w:tr>
      <w:tr>
        <w:tc>
          <w:tcPr>
            <w:tcW w:type="dxa" w:w="2016"/>
          </w:tcPr>
          <w:p>
            <w:r>
              <w:t>Unauthorized access / identity theft</w:t>
            </w:r>
          </w:p>
        </w:tc>
        <w:tc>
          <w:tcPr>
            <w:tcW w:type="dxa" w:w="2016"/>
          </w:tcPr>
          <w:p>
            <w:r>
              <w:t>Credential stage</w:t>
            </w:r>
          </w:p>
        </w:tc>
        <w:tc>
          <w:tcPr>
            <w:tcW w:type="dxa" w:w="2016"/>
          </w:tcPr>
          <w:p>
            <w:r>
              <w:t>Simulated compromise</w:t>
            </w:r>
          </w:p>
        </w:tc>
        <w:tc>
          <w:tcPr>
            <w:tcW w:type="dxa" w:w="2016"/>
          </w:tcPr>
          <w:p>
            <w:r>
              <w:t>IT Act ss.43, 66, 66C as facts require</w:t>
            </w:r>
          </w:p>
        </w:tc>
        <w:tc>
          <w:tcPr>
            <w:tcW w:type="dxa" w:w="2016"/>
          </w:tcPr>
          <w:p>
            <w:r>
              <w:t>CFAA / Budapest Convention</w:t>
            </w:r>
          </w:p>
        </w:tc>
      </w:tr>
      <w:tr>
        <w:tc>
          <w:tcPr>
            <w:tcW w:type="dxa" w:w="2016"/>
          </w:tcPr>
          <w:p>
            <w:r>
              <w:t>Malware delivery</w:t>
            </w:r>
          </w:p>
        </w:tc>
        <w:tc>
          <w:tcPr>
            <w:tcW w:type="dxa" w:w="2016"/>
          </w:tcPr>
          <w:p>
            <w:r>
              <w:t>Payload stage</w:t>
            </w:r>
          </w:p>
        </w:tc>
        <w:tc>
          <w:tcPr>
            <w:tcW w:type="dxa" w:w="2016"/>
          </w:tcPr>
          <w:p>
            <w:r>
              <w:t>Inert IOC artifact</w:t>
            </w:r>
          </w:p>
        </w:tc>
        <w:tc>
          <w:tcPr>
            <w:tcW w:type="dxa" w:w="2016"/>
          </w:tcPr>
          <w:p>
            <w:r>
              <w:t>IT Act provisions depending on conduct</w:t>
            </w:r>
          </w:p>
        </w:tc>
        <w:tc>
          <w:tcPr>
            <w:tcW w:type="dxa" w:w="2016"/>
          </w:tcPr>
          <w:p>
            <w:r>
              <w:t>Budapest Convention</w:t>
            </w:r>
          </w:p>
        </w:tc>
      </w:tr>
      <w:tr>
        <w:tc>
          <w:tcPr>
            <w:tcW w:type="dxa" w:w="2016"/>
          </w:tcPr>
          <w:p>
            <w:r>
              <w:t>Financial fraud</w:t>
            </w:r>
          </w:p>
        </w:tc>
        <w:tc>
          <w:tcPr>
            <w:tcW w:type="dxa" w:w="2016"/>
          </w:tcPr>
          <w:p>
            <w:r>
              <w:t>Payment stage</w:t>
            </w:r>
          </w:p>
        </w:tc>
        <w:tc>
          <w:tcPr>
            <w:tcW w:type="dxa" w:w="2016"/>
          </w:tcPr>
          <w:p>
            <w:r>
              <w:t>Synthetic transactions</w:t>
            </w:r>
          </w:p>
        </w:tc>
        <w:tc>
          <w:tcPr>
            <w:tcW w:type="dxa" w:w="2016"/>
          </w:tcPr>
          <w:p>
            <w:r>
              <w:t>Applicable IT Act + criminal law</w:t>
            </w:r>
          </w:p>
        </w:tc>
        <w:tc>
          <w:tcPr>
            <w:tcW w:type="dxa" w:w="2016"/>
          </w:tcPr>
          <w:p>
            <w:r>
              <w:t>Computer-related fraud frameworks</w:t>
            </w:r>
          </w:p>
        </w:tc>
      </w:tr>
      <w:tr>
        <w:tc>
          <w:tcPr>
            <w:tcW w:type="dxa" w:w="2016"/>
          </w:tcPr>
          <w:p>
            <w:r>
              <w:t>Spamming</w:t>
            </w:r>
          </w:p>
        </w:tc>
        <w:tc>
          <w:tcPr>
            <w:tcW w:type="dxa" w:w="2016"/>
          </w:tcPr>
          <w:p>
            <w:r>
              <w:t>Campaign delivery</w:t>
            </w:r>
          </w:p>
        </w:tc>
        <w:tc>
          <w:tcPr>
            <w:tcW w:type="dxa" w:w="2016"/>
          </w:tcPr>
          <w:p>
            <w:r>
              <w:t>Multiple emails</w:t>
            </w:r>
          </w:p>
        </w:tc>
        <w:tc>
          <w:tcPr>
            <w:tcW w:type="dxa" w:w="2016"/>
          </w:tcPr>
          <w:p>
            <w:r>
              <w:t>Applicable law depends on conduct</w:t>
            </w:r>
          </w:p>
        </w:tc>
        <w:tc>
          <w:tcPr>
            <w:tcW w:type="dxa" w:w="2016"/>
          </w:tcPr>
          <w:p>
            <w:r>
              <w:t>Cybercrime frameworks</w:t>
            </w:r>
          </w:p>
        </w:tc>
      </w:tr>
    </w:tbl>
    <w:p>
      <w:r>
        <w:t>The Information Technology Act, 2000 identifies sections 43, 66, 66C and 66D as relevant cyber provisions. Section 66A is not relied upon. For current general criminal law, the Bharatiya Nyaya Sanhita, 2023 should be consulted rather than treating the historical IPC as current law.</w:t>
      </w:r>
    </w:p>
    <w:p>
      <w:pPr>
        <w:pStyle w:val="Heading1"/>
      </w:pPr>
      <w:r>
        <w:t>3. Phishing &amp; Spoofing Investigation</w:t>
      </w:r>
    </w:p>
    <w:p>
      <w:pPr>
        <w:pStyle w:val="Heading2"/>
      </w:pPr>
      <w:r>
        <w:t>3.1 Header Findings</w:t>
      </w:r>
    </w:p>
    <w:p>
      <w:pPr>
        <w:pStyle w:val="ListBullet"/>
      </w:pPr>
      <w:r>
        <w:t>phishing_email_01.txt: hydra-bank.example; 192.0.2.10; SPF/DKIM/DMARC = FAIL/FAIL/FAIL.</w:t>
      </w:r>
    </w:p>
    <w:p>
      <w:pPr>
        <w:pStyle w:val="ListBullet"/>
      </w:pPr>
      <w:r>
        <w:t>phishing_email_02.txt: hydra-pay.example; 198.51.100.25; SPF/DKIM/DMARC = SOFTFAIL/FAIL/FAIL.</w:t>
      </w:r>
    </w:p>
    <w:p>
      <w:pPr>
        <w:pStyle w:val="ListBullet"/>
      </w:pPr>
      <w:r>
        <w:t>phishing_email_03.txt: hydra-security.example; 203.0.113.45; SPF/DKIM/DMARC = FAIL/FAIL/FAIL.</w:t>
      </w:r>
    </w:p>
    <w:p>
      <w:r>
        <w:t>The authentication results are intentionally simulated and are not live DNS verification results. The IPs are documentation ranges and the domains use the reserved .example namespace.</w:t>
      </w:r>
    </w:p>
    <w:p>
      <w:pPr>
        <w:pStyle w:val="Heading2"/>
      </w:pPr>
      <w:r>
        <w:t>3.2 Domain / WHOIS Methodology</w:t>
      </w:r>
    </w:p>
    <w:p>
      <w:r>
        <w:t>A real authorized investigation would preserve WHOIS/RDAP data, registration dates, registrar information, nameservers, DNS records and historical infrastructure. In this assignment, the domains are deliberately non-operational examples, so no real attribution is made.</w:t>
      </w:r>
    </w:p>
    <w:p>
      <w:pPr>
        <w:pStyle w:val="Heading1"/>
      </w:pPr>
      <w:r>
        <w:t>4. Malware Payload Analysis</w:t>
      </w:r>
    </w:p>
    <w:p>
      <w:r>
        <w:t>HydraKeyLogger_simulated.txt is an inert text artifact classified for the scenario as a simulated Trojan/keylogger. It was not executed and performs no keylogging, persistence, credential theft, network communication or system modification.</w:t>
      </w:r>
    </w:p>
    <w:p>
      <w:pPr>
        <w:pStyle w:val="ListBullet"/>
      </w:pPr>
      <w:r>
        <w:t>SHA256: SIMULATED-HASH-HYDRA-001</w:t>
      </w:r>
    </w:p>
    <w:p>
      <w:pPr>
        <w:pStyle w:val="ListBullet"/>
      </w:pPr>
      <w:r>
        <w:t>C2 domain: c2.hydra.example</w:t>
      </w:r>
    </w:p>
    <w:p>
      <w:pPr>
        <w:pStyle w:val="ListBullet"/>
      </w:pPr>
      <w:r>
        <w:t>C2 IP: 203.0.113.99</w:t>
      </w:r>
    </w:p>
    <w:p>
      <w:pPr>
        <w:pStyle w:val="ListBullet"/>
      </w:pPr>
      <w:r>
        <w:t>File path: C:\Simulation\HydraKeyLogger_simulated.txt</w:t>
      </w:r>
    </w:p>
    <w:p>
      <w:pPr>
        <w:pStyle w:val="ListBullet"/>
      </w:pPr>
      <w:r>
        <w:t>Mutex: HYDRA_SIM_MUTEX_001</w:t>
      </w:r>
    </w:p>
    <w:p>
      <w:r>
        <w:t>The IOC extraction script demonstrates repeatable parsing without executing malicious software. The attack chain connects phishing delivery to the simulated payload and then to the financial-fraud stage.</w:t>
      </w:r>
    </w:p>
    <w:p>
      <w:pPr>
        <w:pStyle w:val="Heading1"/>
      </w:pPr>
      <w:r>
        <w:t>5. Financial Fraud Tracing</w:t>
      </w:r>
    </w:p>
    <w:p>
      <w:r>
        <w:t>Synthetic transaction logs model three simulated victims transferring funds to MULE-SIM-01, followed by onward transfers to CRYPTO-SIM-01. Similar timestamps and repeated destinations demonstrate a hypothetical funneling pattern.</w:t>
      </w:r>
    </w:p>
    <w:p>
      <w:pPr>
        <w:pStyle w:val="ListBullet"/>
      </w:pPr>
      <w:r>
        <w:t>Victim-to-mule transactions: TXN-001, TXN-002, TXN-003.</w:t>
      </w:r>
    </w:p>
    <w:p>
      <w:pPr>
        <w:pStyle w:val="ListBullet"/>
      </w:pPr>
      <w:r>
        <w:t>Simulated card/payment fraud stage: TXN-004.</w:t>
      </w:r>
    </w:p>
    <w:p>
      <w:pPr>
        <w:pStyle w:val="ListBullet"/>
      </w:pPr>
      <w:r>
        <w:t>Mule-to-crypto transactions: TXN-005, TXN-006, TXN-007.</w:t>
      </w:r>
    </w:p>
    <w:p>
      <w:pPr>
        <w:pStyle w:val="ListBullet"/>
      </w:pPr>
      <w:r>
        <w:t>Simulated wallet: BTC-SIM-HYDRA-001 / 1HydraSimulatedBitcoinAddressExample.</w:t>
      </w:r>
    </w:p>
    <w:p>
      <w:r>
        <w:t>The crypto identifier is synthetic and invalid for real-world use. This section demonstrates evidence correlation, not real financial tracing or attribution.</w:t>
      </w:r>
    </w:p>
    <w:p>
      <w:pPr>
        <w:pStyle w:val="Heading1"/>
      </w:pPr>
      <w:r>
        <w:t>6. Legal, Ethical &amp; Stakeholder Impact</w:t>
      </w:r>
    </w:p>
    <w:p>
      <w:pPr>
        <w:pStyle w:val="Heading2"/>
      </w:pPr>
      <w:r>
        <w:t>6.1 Indian Legal Framework</w:t>
      </w:r>
    </w:p>
    <w:p>
      <w:r>
        <w:t>The Information Technology Act, 2000 includes section 43 for specified unauthorized acts, section 66 for dishonest or fraudulent computer-related acts, section 66C for identity theft and section 66D for cheating by personation using a computer resource. Exact applicability depends on the facts and evidence. The Bharatiya Nyaya Sanhita, 2023 provides current criminal-law provisions including cheating and cheating by personation.</w:t>
      </w:r>
    </w:p>
    <w:p>
      <w:pPr>
        <w:pStyle w:val="Heading2"/>
      </w:pPr>
      <w:r>
        <w:t>6.2 Global Context</w:t>
      </w:r>
    </w:p>
    <w:p>
      <w:r>
        <w:t>The Budapest Convention provides an international framework covering cybercrime, electronic evidence and cooperation. The U.S. CFAA addresses unauthorized access and related computer conduct. GDPR is a data-protection framework that may become relevant when its territorial and substantive requirements apply.</w:t>
      </w:r>
    </w:p>
    <w:p>
      <w:pPr>
        <w:pStyle w:val="Heading2"/>
      </w:pPr>
      <w:r>
        <w:t>6.3 Stakeholder Impact</w:t>
      </w:r>
    </w:p>
    <w:p>
      <w:pPr>
        <w:pStyle w:val="ListBullet"/>
      </w:pPr>
      <w:r>
        <w:t>Victims: financial loss, privacy exposure, emotional distress and loss of trust.</w:t>
      </w:r>
    </w:p>
    <w:p>
      <w:pPr>
        <w:pStyle w:val="ListBullet"/>
      </w:pPr>
      <w:r>
        <w:t>Financial institutions: fraud-response costs, monitoring burden and reputational risk.</w:t>
      </w:r>
    </w:p>
    <w:p>
      <w:pPr>
        <w:pStyle w:val="ListBullet"/>
      </w:pPr>
      <w:r>
        <w:t>Businesses: impersonation, support costs and incident-response burden.</w:t>
      </w:r>
    </w:p>
    <w:p>
      <w:pPr>
        <w:pStyle w:val="ListBullet"/>
      </w:pPr>
      <w:r>
        <w:t>Law enforcement: correlation of email, domain, endpoint and financial evidence, potentially across jurisdictions.</w:t>
      </w:r>
    </w:p>
    <w:p>
      <w:pPr>
        <w:pStyle w:val="Heading2"/>
      </w:pPr>
      <w:r>
        <w:t>6.4 Ethical Considerations</w:t>
      </w:r>
    </w:p>
    <w:p>
      <w:pPr>
        <w:pStyle w:val="ListBullet"/>
      </w:pPr>
      <w:r>
        <w:t>Cryptocurrency tracing should not be treated as automatic proof of identity; attribution requires corroborating evidence.</w:t>
      </w:r>
    </w:p>
    <w:p>
      <w:pPr>
        <w:pStyle w:val="ListBullet"/>
      </w:pPr>
      <w:r>
        <w:t>Honeypots and deceptive research require authorization, privacy safeguards and controlled interaction.</w:t>
      </w:r>
    </w:p>
    <w:p>
      <w:pPr>
        <w:pStyle w:val="ListBullet"/>
      </w:pPr>
      <w:r>
        <w:t>Investigators should collect only necessary information and protect sensitive evidence.</w:t>
      </w:r>
    </w:p>
    <w:p>
      <w:pPr>
        <w:pStyle w:val="Heading1"/>
      </w:pPr>
      <w:r>
        <w:t>7. Evidence Integrity &amp; Investigation Method</w:t>
      </w:r>
    </w:p>
    <w:p>
      <w:r>
        <w:t>SHA-256 hashes are generated and verified using Python. The manifest is stored in hashes/SHA256SUMS.txt. Evidence handling emphasizes original artifacts, reproducible scripts, timestamps, evidence identifiers and documented limitations.</w:t>
      </w:r>
    </w:p>
    <w:p>
      <w:r>
        <w:t>Investigation chain: Phishing → Spoofing → Simulated Malware Delivery → Credential Compromise → Financial Fraud → Mule Account → Simulated Crypto.</w:t>
      </w:r>
    </w:p>
    <w:p>
      <w:pPr>
        <w:pStyle w:val="Heading1"/>
      </w:pPr>
      <w:r>
        <w:t>8. Tools, Commands &amp; Justification</w:t>
      </w:r>
    </w:p>
    <w:tbl>
      <w:tblPr>
        <w:tblW w:type="auto" w:w="0"/>
        <w:tblLook w:firstColumn="1" w:firstRow="1" w:lastColumn="0" w:lastRow="0" w:noHBand="0" w:noVBand="1" w:val="04A0"/>
      </w:tblPr>
      <w:tblGrid>
        <w:gridCol w:w="3360"/>
        <w:gridCol w:w="3360"/>
        <w:gridCol w:w="3360"/>
      </w:tblGrid>
      <w:tr>
        <w:tc>
          <w:tcPr>
            <w:tcW w:type="dxa" w:w="3360"/>
          </w:tcPr>
          <w:p>
            <w:r>
              <w:t>Tool / method</w:t>
            </w:r>
          </w:p>
        </w:tc>
        <w:tc>
          <w:tcPr>
            <w:tcW w:type="dxa" w:w="3360"/>
          </w:tcPr>
          <w:p>
            <w:r>
              <w:t>Use</w:t>
            </w:r>
          </w:p>
        </w:tc>
        <w:tc>
          <w:tcPr>
            <w:tcW w:type="dxa" w:w="3360"/>
          </w:tcPr>
          <w:p>
            <w:r>
              <w:t>Justification</w:t>
            </w:r>
          </w:p>
        </w:tc>
      </w:tr>
      <w:tr>
        <w:tc>
          <w:tcPr>
            <w:tcW w:type="dxa" w:w="3360"/>
          </w:tcPr>
          <w:p>
            <w:r>
              <w:t>PowerShell</w:t>
            </w:r>
          </w:p>
        </w:tc>
        <w:tc>
          <w:tcPr>
            <w:tcW w:type="dxa" w:w="3360"/>
          </w:tcPr>
          <w:p>
            <w:r>
              <w:t>Project/file automation</w:t>
            </w:r>
          </w:p>
        </w:tc>
        <w:tc>
          <w:tcPr>
            <w:tcW w:type="dxa" w:w="3360"/>
          </w:tcPr>
          <w:p>
            <w:r>
              <w:t>Reproducible Windows workflow</w:t>
            </w:r>
          </w:p>
        </w:tc>
      </w:tr>
      <w:tr>
        <w:tc>
          <w:tcPr>
            <w:tcW w:type="dxa" w:w="3360"/>
          </w:tcPr>
          <w:p>
            <w:r>
              <w:t>Python</w:t>
            </w:r>
          </w:p>
        </w:tc>
        <w:tc>
          <w:tcPr>
            <w:tcW w:type="dxa" w:w="3360"/>
          </w:tcPr>
          <w:p>
            <w:r>
              <w:t>Header, IOC, transaction and hash analysis</w:t>
            </w:r>
          </w:p>
        </w:tc>
        <w:tc>
          <w:tcPr>
            <w:tcW w:type="dxa" w:w="3360"/>
          </w:tcPr>
          <w:p>
            <w:r>
              <w:t>Repeatable automated processing</w:t>
            </w:r>
          </w:p>
        </w:tc>
      </w:tr>
      <w:tr>
        <w:tc>
          <w:tcPr>
            <w:tcW w:type="dxa" w:w="3360"/>
          </w:tcPr>
          <w:p>
            <w:r>
              <w:t>SPF/DKIM/DMARC</w:t>
            </w:r>
          </w:p>
        </w:tc>
        <w:tc>
          <w:tcPr>
            <w:tcW w:type="dxa" w:w="3360"/>
          </w:tcPr>
          <w:p>
            <w:r>
              <w:t>Sender authentication</w:t>
            </w:r>
          </w:p>
        </w:tc>
        <w:tc>
          <w:tcPr>
            <w:tcW w:type="dxa" w:w="3360"/>
          </w:tcPr>
          <w:p>
            <w:r>
              <w:t>Email authenticity context</w:t>
            </w:r>
          </w:p>
        </w:tc>
      </w:tr>
      <w:tr>
        <w:tc>
          <w:tcPr>
            <w:tcW w:type="dxa" w:w="3360"/>
          </w:tcPr>
          <w:p>
            <w:r>
              <w:t>WHOIS/RDAP</w:t>
            </w:r>
          </w:p>
        </w:tc>
        <w:tc>
          <w:tcPr>
            <w:tcW w:type="dxa" w:w="3360"/>
          </w:tcPr>
          <w:p>
            <w:r>
              <w:t>Domain registration context</w:t>
            </w:r>
          </w:p>
        </w:tc>
        <w:tc>
          <w:tcPr>
            <w:tcW w:type="dxa" w:w="3360"/>
          </w:tcPr>
          <w:p>
            <w:r>
              <w:t>Infrastructure correlation</w:t>
            </w:r>
          </w:p>
        </w:tc>
      </w:tr>
      <w:tr>
        <w:tc>
          <w:tcPr>
            <w:tcW w:type="dxa" w:w="3360"/>
          </w:tcPr>
          <w:p>
            <w:r>
              <w:t>VirusTotal</w:t>
            </w:r>
          </w:p>
        </w:tc>
        <w:tc>
          <w:tcPr>
            <w:tcW w:type="dxa" w:w="3360"/>
          </w:tcPr>
          <w:p>
            <w:r>
              <w:t>Authorized reputation/detection lookup</w:t>
            </w:r>
          </w:p>
        </w:tc>
        <w:tc>
          <w:tcPr>
            <w:tcW w:type="dxa" w:w="3360"/>
          </w:tcPr>
          <w:p>
            <w:r>
              <w:t>Defensive enrichment</w:t>
            </w:r>
          </w:p>
        </w:tc>
      </w:tr>
      <w:tr>
        <w:tc>
          <w:tcPr>
            <w:tcW w:type="dxa" w:w="3360"/>
          </w:tcPr>
          <w:p>
            <w:r>
              <w:t>MXToolbox</w:t>
            </w:r>
          </w:p>
        </w:tc>
        <w:tc>
          <w:tcPr>
            <w:tcW w:type="dxa" w:w="3360"/>
          </w:tcPr>
          <w:p>
            <w:r>
              <w:t>DNS/mail configuration checks</w:t>
            </w:r>
          </w:p>
        </w:tc>
        <w:tc>
          <w:tcPr>
            <w:tcW w:type="dxa" w:w="3360"/>
          </w:tcPr>
          <w:p>
            <w:r>
              <w:t>Email infrastructure analysis</w:t>
            </w:r>
          </w:p>
        </w:tc>
      </w:tr>
      <w:tr>
        <w:tc>
          <w:tcPr>
            <w:tcW w:type="dxa" w:w="3360"/>
          </w:tcPr>
          <w:p>
            <w:r>
              <w:t>AbuseIPDB</w:t>
            </w:r>
          </w:p>
        </w:tc>
        <w:tc>
          <w:tcPr>
            <w:tcW w:type="dxa" w:w="3360"/>
          </w:tcPr>
          <w:p>
            <w:r>
              <w:t>Authorized IP reputation context</w:t>
            </w:r>
          </w:p>
        </w:tc>
        <w:tc>
          <w:tcPr>
            <w:tcW w:type="dxa" w:w="3360"/>
          </w:tcPr>
          <w:p>
            <w:r>
              <w:t>Indicator enrichment</w:t>
            </w:r>
          </w:p>
        </w:tc>
      </w:tr>
      <w:tr>
        <w:tc>
          <w:tcPr>
            <w:tcW w:type="dxa" w:w="3360"/>
          </w:tcPr>
          <w:p>
            <w:r>
              <w:t>SHA-256</w:t>
            </w:r>
          </w:p>
        </w:tc>
        <w:tc>
          <w:tcPr>
            <w:tcW w:type="dxa" w:w="3360"/>
          </w:tcPr>
          <w:p>
            <w:r>
              <w:t>Evidence integrity</w:t>
            </w:r>
          </w:p>
        </w:tc>
        <w:tc>
          <w:tcPr>
            <w:tcW w:type="dxa" w:w="3360"/>
          </w:tcPr>
          <w:p>
            <w:r>
              <w:t>Detects artifact changes</w:t>
            </w:r>
          </w:p>
        </w:tc>
      </w:tr>
    </w:tbl>
    <w:p>
      <w:r>
        <w:t>Only authorized and non-sensitive indicators should be submitted to external services. This project does not upload real malware or private evidence.</w:t>
      </w:r>
    </w:p>
    <w:p>
      <w:pPr>
        <w:pStyle w:val="Heading1"/>
      </w:pPr>
      <w:r>
        <w:t>9. Public Awareness &amp; Policy Recommendations</w:t>
      </w:r>
    </w:p>
    <w:p>
      <w:pPr>
        <w:pStyle w:val="ListBullet"/>
      </w:pPr>
      <w:r>
        <w:t>Verify unexpected senders and website domains before entering credentials.</w:t>
      </w:r>
    </w:p>
    <w:p>
      <w:pPr>
        <w:pStyle w:val="ListBullet"/>
      </w:pPr>
      <w:r>
        <w:t>Enable multi-factor authentication and monitor financial transactions.</w:t>
      </w:r>
    </w:p>
    <w:p>
      <w:pPr>
        <w:pStyle w:val="ListBullet"/>
      </w:pPr>
      <w:r>
        <w:t>Deploy SPF, DKIM and DMARC for organizational domains.</w:t>
      </w:r>
    </w:p>
    <w:p>
      <w:pPr>
        <w:pStyle w:val="ListBullet"/>
      </w:pPr>
      <w:r>
        <w:t>Provide easy phishing-reporting mechanisms and recurring awareness training.</w:t>
      </w:r>
    </w:p>
    <w:p>
      <w:pPr>
        <w:pStyle w:val="ListBullet"/>
      </w:pPr>
      <w:r>
        <w:t>Improve coordination between banks, platforms, incident responders and law enforcement.</w:t>
      </w:r>
    </w:p>
    <w:p>
      <w:pPr>
        <w:pStyle w:val="ListBullet"/>
      </w:pPr>
      <w:r>
        <w:t>Preserve electronic evidence with integrity records and appropriate authorization.</w:t>
      </w:r>
    </w:p>
    <w:p>
      <w:pPr>
        <w:pStyle w:val="ListBullet"/>
      </w:pPr>
      <w:r>
        <w:t>Use cross-border cooperation when evidence spans jurisdictions.</w:t>
      </w:r>
    </w:p>
    <w:p>
      <w:pPr>
        <w:pStyle w:val="Heading1"/>
      </w:pPr>
      <w:r>
        <w:t>10. Conclusion</w:t>
      </w:r>
    </w:p>
    <w:p>
      <w:r>
        <w:t>Operation Hydra demonstrates how a multi-stage cybercrime investigation can combine technical indicators with legal and ethical analysis. Correlating email headers, authentication results, malware IOCs and transaction timelines provides a structured investigation model while maintaining a distinction between evidence, inference and attribution.</w:t>
      </w:r>
    </w:p>
    <w:p>
      <w:r>
        <w:t>Because every artifact is synthetic, the conclusions are methodological rather than findings about a real incident.</w:t>
      </w:r>
    </w:p>
    <w:p>
      <w:pPr>
        <w:pStyle w:val="Heading1"/>
      </w:pPr>
      <w:r>
        <w:t>11. Screenshot / Evidence Index</w:t>
      </w:r>
    </w:p>
    <w:p>
      <w:pPr>
        <w:pStyle w:val="ListNumber"/>
      </w:pPr>
      <w:r>
        <w:t>01 – Project structure</w:t>
      </w:r>
    </w:p>
    <w:p>
      <w:pPr>
        <w:pStyle w:val="ListNumber"/>
      </w:pPr>
      <w:r>
        <w:t>02 – Synthetic phishing emails</w:t>
      </w:r>
    </w:p>
    <w:p>
      <w:pPr>
        <w:pStyle w:val="ListNumber"/>
      </w:pPr>
      <w:r>
        <w:t>03 – Header analysis</w:t>
      </w:r>
    </w:p>
    <w:p>
      <w:pPr>
        <w:pStyle w:val="ListNumber"/>
      </w:pPr>
      <w:r>
        <w:t>04 – SPF/DKIM/DMARC analysis</w:t>
      </w:r>
    </w:p>
    <w:p>
      <w:pPr>
        <w:pStyle w:val="ListNumber"/>
      </w:pPr>
      <w:r>
        <w:t>05 – Malware IOC extraction</w:t>
      </w:r>
    </w:p>
    <w:p>
      <w:pPr>
        <w:pStyle w:val="ListNumber"/>
      </w:pPr>
      <w:r>
        <w:t>06 – Attack-vector mapping</w:t>
      </w:r>
    </w:p>
    <w:p>
      <w:pPr>
        <w:pStyle w:val="ListNumber"/>
      </w:pPr>
      <w:r>
        <w:t>07 – Financial fraud analysis</w:t>
      </w:r>
    </w:p>
    <w:p>
      <w:pPr>
        <w:pStyle w:val="ListNumber"/>
      </w:pPr>
      <w:r>
        <w:t>08 – Evidence correlation</w:t>
      </w:r>
    </w:p>
    <w:p>
      <w:pPr>
        <w:pStyle w:val="ListNumber"/>
      </w:pPr>
      <w:r>
        <w:t>09 – SHA-256 generation</w:t>
      </w:r>
    </w:p>
    <w:p>
      <w:pPr>
        <w:pStyle w:val="ListNumber"/>
      </w:pPr>
      <w:r>
        <w:t>10 – SHA-256 verification</w:t>
      </w:r>
    </w:p>
    <w:p>
      <w:pPr>
        <w:pStyle w:val="ListNumber"/>
      </w:pPr>
      <w:r>
        <w:t>11 – Legal/ethical analysis</w:t>
      </w:r>
    </w:p>
    <w:p>
      <w:pPr>
        <w:pStyle w:val="ListNumber"/>
      </w:pPr>
      <w:r>
        <w:t>12 – Tools and commands</w:t>
      </w:r>
    </w:p>
    <w:p>
      <w:pPr>
        <w:pStyle w:val="ListNumber"/>
      </w:pPr>
      <w:r>
        <w:t>13 – README</w:t>
      </w:r>
    </w:p>
    <w:p>
      <w:pPr>
        <w:pStyle w:val="ListNumber"/>
      </w:pPr>
      <w:r>
        <w:t>14 – Complete structure</w:t>
      </w:r>
    </w:p>
    <w:p>
      <w:pPr>
        <w:pStyle w:val="ListNumber"/>
      </w:pPr>
      <w:r>
        <w:t>15 – Git push/status</w:t>
      </w:r>
    </w:p>
    <w:p>
      <w:pPr>
        <w:pStyle w:val="ListNumber"/>
      </w:pPr>
      <w:r>
        <w:t>16 – GitHub Actions success</w:t>
      </w:r>
    </w:p>
    <w:p>
      <w:pPr>
        <w:pStyle w:val="Heading1"/>
      </w:pPr>
      <w:r>
        <w:t>12. References</w:t>
      </w:r>
    </w:p>
    <w:p>
      <w:pPr>
        <w:pStyle w:val="ListBullet"/>
      </w:pPr>
      <w:r>
        <w:t>India Code – Information Technology Act, 2000: https://www.indiacode.nic.in/</w:t>
      </w:r>
    </w:p>
    <w:p>
      <w:pPr>
        <w:pStyle w:val="ListBullet"/>
      </w:pPr>
      <w:r>
        <w:t>India Code – Bharatiya Nyaya Sanhita, 2023: https://www.indiacode.nic.in/</w:t>
      </w:r>
    </w:p>
    <w:p>
      <w:pPr>
        <w:pStyle w:val="ListBullet"/>
      </w:pPr>
      <w:r>
        <w:t>Council of Europe – Convention on Cybercrime (Budapest Convention): https://www.coe.int/en/web/cybercrime/convention-on-cybercrime</w:t>
      </w:r>
    </w:p>
    <w:p>
      <w:pPr>
        <w:pStyle w:val="ListBullet"/>
      </w:pPr>
      <w:r>
        <w:t>EUR-Lex – Regulation (EU) 2016/679 (GDPR): https://eur-lex.europa.eu/</w:t>
      </w:r>
    </w:p>
    <w:p>
      <w:pPr>
        <w:pStyle w:val="ListBullet"/>
      </w:pPr>
      <w:r>
        <w:t>18 U.S.C. §1030 / Computer Fraud and Abuse Act: U.S. federal statutory reference.</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