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52"/>
          <w:szCs w:val="52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E25F7">
        <w:rPr>
          <w:rFonts w:ascii="Times New Roman" w:eastAsia="Times New Roman" w:hAnsi="Times New Roman" w:cs="Times New Roman"/>
          <w:color w:val="1F1F1F"/>
          <w:sz w:val="52"/>
          <w:szCs w:val="52"/>
        </w:rPr>
        <w:t>Macro-Finance Regime-Switching Portfolio Asset Allocation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Executive Summary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Traditional fixed-weight asset allocation models (such as the standard 60/40 Equity/Bond portfolio) assume stationary market correlations and constant asset volatility over time. However, financial markets exhibit distinct structural shifts characterized by alternating periods of steady expansion and heightened, high-volatility stress.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project implements an econometric asset allocation model that dynamically detects market regimes using an unsupervised 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2-State Markov-Switching Model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By incorporating the 10Y-2Y Treasury Yield Spread as an exogenous variable, the model estimates real-time state transition probabilities </w:t>
      </w:r>
      <w:proofErr w:type="gramStart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P(</w:t>
      </w:r>
      <w:proofErr w:type="spellStart"/>
      <w:proofErr w:type="gram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S_t</w:t>
      </w:r>
      <w:proofErr w:type="spell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High Risk).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prevent high-frequency "whipsawing" and excessive rebalancing turnover, a 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dual-threshold hysteresis rule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CE25F7">
        <w:rPr>
          <w:rFonts w:ascii="Courier New" w:eastAsia="Times New Roman" w:hAnsi="Courier New" w:cs="Courier New"/>
          <w:color w:val="1F1F1F"/>
          <w:sz w:val="23"/>
          <w:szCs w:val="23"/>
        </w:rPr>
        <w:t>0.65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r w:rsidRPr="00CE25F7">
        <w:rPr>
          <w:rFonts w:ascii="Courier New" w:eastAsia="Times New Roman" w:hAnsi="Courier New" w:cs="Courier New"/>
          <w:color w:val="1F1F1F"/>
          <w:sz w:val="23"/>
          <w:szCs w:val="23"/>
        </w:rPr>
        <w:t>0.35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rolling-window probability smoothing were integrated. Net of a 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15 basis point (0.0015)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transaction penalty on rebalancing turnover, the strategy significantly outperforms the 60/40 benchmark in risk-adjusted terms by curtailing drawdowns during market contractions while retaining growth exposure during expansions.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CE25F7" w:rsidRPr="00CE25F7" w:rsidRDefault="00CE25F7" w:rsidP="00CE25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Model Architecture &amp; Econometric Framework</w:t>
      </w:r>
    </w:p>
    <w:p w:rsidR="00CE25F7" w:rsidRPr="00CE25F7" w:rsidRDefault="00CE25F7" w:rsidP="00CE25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2.1 Econometric Specification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The excess log return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 primary equity driver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y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t</w:t>
      </w:r>
      <w:proofErr w:type="spell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modeled as a regime-dependent process governed by an unobs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erved discrete state variable S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t in {0, 1}: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yt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μ(St) + Σ [φ(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i,St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 * y(t-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)] + β(St) *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Xt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εt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where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εt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~ N(0, σ²_(S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t))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Where: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CE25F7" w:rsidRPr="00CE25F7" w:rsidRDefault="00CE25F7" w:rsidP="00CE25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 = 0: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Represents the Low-Volatility / Expansionary Regime.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 = 1: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Represents the High-Volatility / Contractionary Regime.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</w:t>
      </w:r>
      <w:proofErr w:type="spellEnd"/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Represents the exogenous macro factor (10Y-2Y Treasury Yield Curve Spread).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σ²_(S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t):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Allows for switching variance across risk regimes.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Transition between states follows a first-order Markov chain defined by transition matrix P: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P = [[p_00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p_01], [p_10, p_11]], where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pij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 = j | S_(t-1) = </w:t>
      </w:r>
      <w:proofErr w:type="spellStart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i</w:t>
      </w:r>
      <w:proofErr w:type="spell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CE25F7" w:rsidRPr="00CE25F7" w:rsidRDefault="00CE25F7" w:rsidP="00CE25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2.2 Stationarity Diagnostics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prevent spurious regression, </w:t>
      </w:r>
      <w:proofErr w:type="spellStart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all time</w:t>
      </w:r>
      <w:proofErr w:type="spell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series were tested using the Augmented Dickey-Fuller (ADF) test prior to model estimation: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CE25F7" w:rsidRPr="00CE25F7" w:rsidRDefault="00CE25F7" w:rsidP="00CE25F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Log returns for Equities, Bonds, and Gold exhibited stationarity at p &lt; 0.001.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The 10Y-2Y Yield Curve Spread was verified to meet stationary inputs for autoregressive filtering.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Portfolio Allocation Rules &amp; Whipsaw Reduction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Standard binary allocation models switch allocations whenever </w:t>
      </w:r>
      <w:proofErr w:type="gramStart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P(</w:t>
      </w:r>
      <w:proofErr w:type="gram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High Risk) &gt; 0.50, leading to extreme monthly turnover due to short-term market noise. This project resolves regime instability using two mechanisms: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CE25F7" w:rsidRPr="00CE25F7" w:rsidRDefault="00CE25F7" w:rsidP="00CE25F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Probability Smoothing: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3-month rolling moving average is applied to the smoothed marginal probability vector to damp high-frequency noise.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Dual-Threshold Hysteresis: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 switching requires crossing distinct entry and exit barriers: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br/>
      </w:r>
    </w:p>
    <w:p w:rsidR="00CE25F7" w:rsidRPr="00CE25F7" w:rsidRDefault="00CE25F7" w:rsidP="00CE25F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Shift to High Risk: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Triggered only when smoothed </w:t>
      </w:r>
      <w:proofErr w:type="gramStart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P(</w:t>
      </w:r>
      <w:proofErr w:type="gram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High Risk) &gt; 0.65.</w:t>
      </w:r>
    </w:p>
    <w:p w:rsidR="00CE25F7" w:rsidRPr="00CE25F7" w:rsidRDefault="00CE25F7" w:rsidP="00CE25F7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Shift to Low Risk: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Triggered only when smoothed </w:t>
      </w:r>
      <w:proofErr w:type="gramStart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P(</w:t>
      </w:r>
      <w:proofErr w:type="gram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High Risk) &lt; 0.35.</w:t>
      </w:r>
    </w:p>
    <w:p w:rsidR="00CE25F7" w:rsidRPr="00CE25F7" w:rsidRDefault="00CE25F7" w:rsidP="00CE25F7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Allocation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1"/>
        <w:gridCol w:w="2465"/>
        <w:gridCol w:w="2141"/>
        <w:gridCol w:w="2087"/>
      </w:tblGrid>
      <w:tr w:rsidR="00CE25F7" w:rsidRPr="00CE25F7" w:rsidTr="00CE25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Regime 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Target Equity (^GSPC)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Target Bonds (TLT)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Target Gold (GLD)</w:t>
            </w:r>
          </w:p>
        </w:tc>
      </w:tr>
      <w:tr w:rsidR="00CE25F7" w:rsidRPr="00CE25F7" w:rsidTr="00CE25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Low-Risk (Expansion)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10%</w:t>
            </w:r>
          </w:p>
        </w:tc>
      </w:tr>
      <w:tr w:rsidR="00CE25F7" w:rsidRPr="00CE25F7" w:rsidTr="00CE25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High-Risk (Contraction)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30%</w:t>
            </w:r>
          </w:p>
        </w:tc>
      </w:tr>
    </w:tbl>
    <w:p w:rsidR="00CE25F7" w:rsidRPr="00CE25F7" w:rsidRDefault="00CE25F7" w:rsidP="00CE25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Empirical Results &amp; Performance Evaluation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(Data Evaluated: 2008 – 2026 | Net of 15 bps Rebalancing Frictions)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2255"/>
        <w:gridCol w:w="2790"/>
        <w:gridCol w:w="2141"/>
      </w:tblGrid>
      <w:tr w:rsidR="00CE25F7" w:rsidRPr="00CE25F7" w:rsidTr="00CE25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Dynamic Markov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Benchmark (60/40 Equity/Bond)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Strategy Relative Gain</w:t>
            </w:r>
          </w:p>
        </w:tc>
      </w:tr>
      <w:tr w:rsidR="00CE25F7" w:rsidRPr="00CE25F7" w:rsidTr="00CE25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Annualized 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13.48%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6.76%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+6.72%</w:t>
            </w:r>
          </w:p>
        </w:tc>
      </w:tr>
      <w:tr w:rsidR="00CE25F7" w:rsidRPr="00CE25F7" w:rsidTr="00CE25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Annualized Volatility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10.58%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10.74%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-0.16%</w:t>
            </w:r>
          </w:p>
        </w:tc>
      </w:tr>
      <w:tr w:rsidR="00CE25F7" w:rsidRPr="00CE25F7" w:rsidTr="00CE25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Sharpe 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+0.59 (+96.7%)</w:t>
            </w:r>
          </w:p>
        </w:tc>
      </w:tr>
      <w:tr w:rsidR="00CE25F7" w:rsidRPr="00CE25F7" w:rsidTr="00CE25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Maximum Drawdown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-18.00%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-28.14%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25F7" w:rsidRPr="00CE25F7" w:rsidRDefault="00CE25F7" w:rsidP="00CE25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25F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+10.14% Protection</w:t>
            </w:r>
          </w:p>
        </w:tc>
      </w:tr>
    </w:tbl>
    <w:p w:rsidR="00CE25F7" w:rsidRPr="00CE25F7" w:rsidRDefault="00CE25F7" w:rsidP="00CE25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Core Findings</w:t>
      </w:r>
    </w:p>
    <w:p w:rsidR="00CE25F7" w:rsidRPr="00CE25F7" w:rsidRDefault="00CE25F7" w:rsidP="00CE25F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Capital Preservation during Crises: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model successfully identified major high-stress market events (e.g., the 2008 Financial Crisis and the 2020 COVID Market Crash), reallocating weights into Fixed Income and Gold to prevent severe capital erosion.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Superior Risk-Adjusted Returns: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By avoiding catastrophic drawdowns while participating in long-term equity growth phases, the net Sharpe Ratio improved from 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0.61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(Benchmark) to </w:t>
      </w: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1.20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(Regime Strategy).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Cost-Efficiency: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Hysteresis logic drastically reduced monthly portfolio rebalancing frequency, retaining performance gains even after applying realistic brokerage and market impact penalties.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Conclusion &amp; Recommendations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The integration of macroeconomic indicators within non-linear Markov-Switching models provides a robust, data-driven framework for dynamic asset allocation. The strategy effectively mitigates tail-risk while maintaining low execution costs.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Future Enhancements:</w:t>
      </w:r>
    </w:p>
    <w:p w:rsidR="00CE25F7" w:rsidRPr="00CE25F7" w:rsidRDefault="00CE25F7" w:rsidP="00CE25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CE25F7" w:rsidRPr="00CE25F7" w:rsidRDefault="00CE25F7" w:rsidP="00CE25F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Expansion to 3-Regimes: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Introducing a distinct "</w:t>
      </w:r>
      <w:proofErr w:type="spellStart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Stagflationary</w:t>
      </w:r>
      <w:proofErr w:type="spell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" regime characterized by simultaneous declines in equities and long-duration bonds.</w:t>
      </w:r>
    </w:p>
    <w:p w:rsidR="00CE25F7" w:rsidRPr="00CE25F7" w:rsidRDefault="00CE25F7" w:rsidP="00CE25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E25F7" w:rsidRPr="00CE25F7" w:rsidRDefault="00CE25F7" w:rsidP="00CE25F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E25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Continuous Weight Blending:</w:t>
      </w:r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Transitioning from discrete allocation weights to a continuous linear fun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ction of state probabilities: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Pt *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WDefensive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(1 - Pt) *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W</w:t>
      </w:r>
      <w:bookmarkStart w:id="0" w:name="_GoBack"/>
      <w:bookmarkEnd w:id="0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Aggressive</w:t>
      </w:r>
      <w:proofErr w:type="spellEnd"/>
      <w:r w:rsidRPr="00CE25F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CE25F7" w:rsidRDefault="00CE25F7"/>
    <w:sectPr w:rsidR="00CE2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DD9"/>
    <w:multiLevelType w:val="multilevel"/>
    <w:tmpl w:val="F63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331D6"/>
    <w:multiLevelType w:val="multilevel"/>
    <w:tmpl w:val="434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73C0B"/>
    <w:multiLevelType w:val="multilevel"/>
    <w:tmpl w:val="83C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9208C"/>
    <w:multiLevelType w:val="multilevel"/>
    <w:tmpl w:val="901A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C122E"/>
    <w:multiLevelType w:val="multilevel"/>
    <w:tmpl w:val="6838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5F7"/>
    <w:rsid w:val="00CE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6726"/>
  <w15:chartTrackingRefBased/>
  <w15:docId w15:val="{2149F73E-8A70-4AF0-8E7A-40687037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25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2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5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25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25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E25F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25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6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Dhamecha</dc:creator>
  <cp:keywords/>
  <dc:description/>
  <cp:lastModifiedBy>Shubham Dhamecha</cp:lastModifiedBy>
  <cp:revision>1</cp:revision>
  <dcterms:created xsi:type="dcterms:W3CDTF">2026-10-05T18:46:00Z</dcterms:created>
  <dcterms:modified xsi:type="dcterms:W3CDTF">2026-10-05T18:50:00Z</dcterms:modified>
</cp:coreProperties>
</file>