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5697" w14:textId="08BDF131" w:rsidR="007264E3" w:rsidRPr="006A546B" w:rsidRDefault="00667A26">
      <w:pPr>
        <w:spacing w:after="60"/>
        <w:jc w:val="center"/>
      </w:pPr>
      <w:r>
        <w:rPr>
          <w:b/>
          <w:noProof/>
          <w:color w:val="003366"/>
          <w:sz w:val="40"/>
        </w:rPr>
        <w:drawing>
          <wp:anchor distT="0" distB="0" distL="114300" distR="114300" simplePos="0" relativeHeight="251658240" behindDoc="1" locked="0" layoutInCell="1" allowOverlap="1" wp14:anchorId="5A7DFEEC" wp14:editId="7E5E652A">
            <wp:simplePos x="0" y="0"/>
            <wp:positionH relativeFrom="column">
              <wp:posOffset>282575</wp:posOffset>
            </wp:positionH>
            <wp:positionV relativeFrom="paragraph">
              <wp:posOffset>-190500</wp:posOffset>
            </wp:positionV>
            <wp:extent cx="990600" cy="990600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19070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0732" name="Picture 19070007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3366"/>
          <w:sz w:val="40"/>
        </w:rPr>
        <w:t xml:space="preserve">    </w:t>
      </w:r>
      <w:r w:rsidR="00000000" w:rsidRPr="006A546B">
        <w:rPr>
          <w:b/>
          <w:color w:val="003366"/>
          <w:sz w:val="40"/>
        </w:rPr>
        <w:t>CUSTOMER CHURN ANALYSIS REPORT</w:t>
      </w:r>
    </w:p>
    <w:p w14:paraId="61E8CDE6" w14:textId="065BFAD1" w:rsidR="007264E3" w:rsidRPr="006A546B" w:rsidRDefault="00000000" w:rsidP="002C4BBA">
      <w:pPr>
        <w:spacing w:after="40"/>
        <w:ind w:firstLine="720"/>
      </w:pPr>
      <w:r w:rsidRPr="006A546B">
        <w:rPr>
          <w:color w:val="666666"/>
          <w:sz w:val="20"/>
        </w:rPr>
        <w:t xml:space="preserve">Telecom Churn </w:t>
      </w:r>
      <w:r w:rsidR="007E74DF" w:rsidRPr="006A546B">
        <w:rPr>
          <w:color w:val="666666"/>
          <w:sz w:val="20"/>
        </w:rPr>
        <w:t>Prediction — Data</w:t>
      </w:r>
      <w:r w:rsidRPr="006A546B">
        <w:rPr>
          <w:color w:val="666666"/>
          <w:sz w:val="20"/>
        </w:rPr>
        <w:t xml:space="preserve"> Science</w:t>
      </w:r>
      <w:r w:rsidR="007E74DF">
        <w:rPr>
          <w:color w:val="666666"/>
          <w:sz w:val="20"/>
        </w:rPr>
        <w:t xml:space="preserve"> PoC</w:t>
      </w:r>
    </w:p>
    <w:p w14:paraId="3B2FD1E3" w14:textId="6D366EDA" w:rsidR="007264E3" w:rsidRPr="006A546B" w:rsidRDefault="002C4BBA" w:rsidP="002C4BBA">
      <w:pPr>
        <w:spacing w:after="160"/>
        <w:ind w:left="2880"/>
      </w:pPr>
      <w:r>
        <w:rPr>
          <w:color w:val="787878"/>
          <w:sz w:val="18"/>
        </w:rPr>
        <w:t xml:space="preserve">  </w:t>
      </w:r>
      <w:r w:rsidR="00000000" w:rsidRPr="006A546B">
        <w:rPr>
          <w:color w:val="787878"/>
          <w:sz w:val="18"/>
        </w:rPr>
        <w:t xml:space="preserve">Prepared by: </w:t>
      </w:r>
      <w:r w:rsidR="007E74DF">
        <w:rPr>
          <w:color w:val="787878"/>
          <w:sz w:val="18"/>
        </w:rPr>
        <w:t>Shubham Gupta – Kadel Labs</w:t>
      </w:r>
      <w:r w:rsidR="007E74DF" w:rsidRPr="006A546B">
        <w:rPr>
          <w:color w:val="787878"/>
          <w:sz w:val="18"/>
        </w:rPr>
        <w:t xml:space="preserve"> |</w:t>
      </w:r>
      <w:r w:rsidR="00000000" w:rsidRPr="006A546B">
        <w:rPr>
          <w:color w:val="787878"/>
          <w:sz w:val="18"/>
        </w:rPr>
        <w:t xml:space="preserve"> May 2026</w:t>
      </w:r>
    </w:p>
    <w:p w14:paraId="3493C96F" w14:textId="77777777" w:rsidR="007264E3" w:rsidRPr="006A546B" w:rsidRDefault="00000000">
      <w:pPr>
        <w:spacing w:after="160"/>
        <w:jc w:val="center"/>
      </w:pPr>
      <w:r w:rsidRPr="006A546B">
        <w:rPr>
          <w:rFonts w:ascii="MS Mincho" w:eastAsia="MS Mincho" w:hAnsi="MS Mincho" w:cs="MS Mincho" w:hint="eastAsia"/>
          <w:color w:val="003366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14:paraId="24A3643E" w14:textId="77777777" w:rsidR="007264E3" w:rsidRPr="006A546B" w:rsidRDefault="00000000">
      <w:pPr>
        <w:spacing w:before="40" w:after="80"/>
      </w:pPr>
      <w:r w:rsidRPr="006A546B">
        <w:rPr>
          <w:b/>
          <w:color w:val="003366"/>
          <w:sz w:val="26"/>
        </w:rPr>
        <w:t>1. Executive Summary</w:t>
      </w:r>
    </w:p>
    <w:p w14:paraId="2B496BDA" w14:textId="375C073A" w:rsidR="007264E3" w:rsidRPr="006A546B" w:rsidRDefault="00000000">
      <w:pPr>
        <w:spacing w:after="80"/>
      </w:pPr>
      <w:r w:rsidRPr="006A546B">
        <w:rPr>
          <w:sz w:val="19"/>
        </w:rPr>
        <w:t xml:space="preserve">This report presents findings from a customer churn analysis </w:t>
      </w:r>
      <w:r w:rsidR="006A546B">
        <w:rPr>
          <w:sz w:val="19"/>
        </w:rPr>
        <w:t>of a telecom dataset comprising 5,000 customers and</w:t>
      </w:r>
      <w:r w:rsidRPr="006A546B">
        <w:rPr>
          <w:sz w:val="19"/>
        </w:rPr>
        <w:t xml:space="preserve"> 19 attributes. The objective was to build predictive models, identify key churn drivers, and deliver actionable retention strategies. Key findings include:</w:t>
      </w:r>
    </w:p>
    <w:p w14:paraId="3ABB4F0E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The churn rate is 18.1%, creating a significant class imbalance addressed via SMOTE oversampling.</w:t>
      </w:r>
    </w:p>
    <w:p w14:paraId="3ED4A327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 xml:space="preserve">Four models were evaluated: Logistic Regression, Random Forest, </w:t>
      </w:r>
      <w:proofErr w:type="spellStart"/>
      <w:r w:rsidRPr="006A546B">
        <w:rPr>
          <w:sz w:val="18"/>
        </w:rPr>
        <w:t>XGBoost</w:t>
      </w:r>
      <w:proofErr w:type="spellEnd"/>
      <w:r w:rsidRPr="006A546B">
        <w:rPr>
          <w:sz w:val="18"/>
        </w:rPr>
        <w:t xml:space="preserve">, and a </w:t>
      </w:r>
      <w:proofErr w:type="spellStart"/>
      <w:r w:rsidRPr="006A546B">
        <w:rPr>
          <w:sz w:val="18"/>
        </w:rPr>
        <w:t>PyTorch</w:t>
      </w:r>
      <w:proofErr w:type="spellEnd"/>
      <w:r w:rsidRPr="006A546B">
        <w:rPr>
          <w:sz w:val="18"/>
        </w:rPr>
        <w:t xml:space="preserve"> Deep Learning network. All achieve ROC-AUC of ~0.75–0.76, but </w:t>
      </w:r>
      <w:proofErr w:type="spellStart"/>
      <w:r w:rsidRPr="006A546B">
        <w:rPr>
          <w:sz w:val="18"/>
        </w:rPr>
        <w:t>XGBoost</w:t>
      </w:r>
      <w:proofErr w:type="spellEnd"/>
      <w:r w:rsidRPr="006A546B">
        <w:rPr>
          <w:sz w:val="18"/>
        </w:rPr>
        <w:t xml:space="preserve"> and Deep Learning lead in churn recall (0.82).</w:t>
      </w:r>
    </w:p>
    <w:p w14:paraId="7E83EB8D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 xml:space="preserve">Logistic Regression achieves the highest Average Precision (AP = 0.392), making it preferable when false-positive costs are high. </w:t>
      </w:r>
      <w:proofErr w:type="spellStart"/>
      <w:r w:rsidRPr="006A546B">
        <w:rPr>
          <w:sz w:val="18"/>
        </w:rPr>
        <w:t>XGBoost</w:t>
      </w:r>
      <w:proofErr w:type="spellEnd"/>
      <w:r w:rsidRPr="006A546B">
        <w:rPr>
          <w:sz w:val="18"/>
        </w:rPr>
        <w:t xml:space="preserve"> is recommended for maximum churn capture.</w:t>
      </w:r>
    </w:p>
    <w:p w14:paraId="25F07F01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Precision remains low across all models (~0.29–0.31), meaning ~70% of flagged customers are false positives — a critical cost factor when designing retention campaigns.</w:t>
      </w:r>
    </w:p>
    <w:p w14:paraId="164509BB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Top churn drivers: month-to-month contracts, short tenure, elevated support tickets, high monthly charges, Fiber Optic internet service, and electronic check payment method.</w:t>
      </w:r>
    </w:p>
    <w:p w14:paraId="7192FF88" w14:textId="77777777" w:rsidR="007264E3" w:rsidRPr="006A546B" w:rsidRDefault="00000000">
      <w:pPr>
        <w:spacing w:before="160" w:after="80"/>
      </w:pPr>
      <w:r w:rsidRPr="006A546B">
        <w:rPr>
          <w:b/>
          <w:color w:val="003366"/>
          <w:sz w:val="26"/>
        </w:rPr>
        <w:t>2. Model Performance Comparison</w:t>
      </w:r>
    </w:p>
    <w:p w14:paraId="2F61F1E1" w14:textId="5905D7AF" w:rsidR="007264E3" w:rsidRPr="006A546B" w:rsidRDefault="00000000">
      <w:pPr>
        <w:spacing w:after="80"/>
      </w:pPr>
      <w:r w:rsidRPr="006A546B">
        <w:rPr>
          <w:sz w:val="19"/>
        </w:rPr>
        <w:t xml:space="preserve">The table below </w:t>
      </w:r>
      <w:r w:rsidR="00CD07FE" w:rsidRPr="006A546B">
        <w:rPr>
          <w:sz w:val="19"/>
        </w:rPr>
        <w:t>summarizes</w:t>
      </w:r>
      <w:r w:rsidRPr="006A546B">
        <w:rPr>
          <w:sz w:val="19"/>
        </w:rPr>
        <w:t xml:space="preserve"> test-set performance (1,000 samples) for all churn-class metrics: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7264E3" w:rsidRPr="006A546B" w14:paraId="742C9394" w14:textId="77777777">
        <w:trPr>
          <w:jc w:val="center"/>
        </w:trPr>
        <w:tc>
          <w:tcPr>
            <w:tcW w:w="1624" w:type="dxa"/>
            <w:shd w:val="clear" w:color="auto" w:fill="003366"/>
          </w:tcPr>
          <w:p w14:paraId="5B8906C0" w14:textId="77777777" w:rsidR="007264E3" w:rsidRPr="006A546B" w:rsidRDefault="00000000">
            <w:pPr>
              <w:jc w:val="center"/>
            </w:pPr>
            <w:r w:rsidRPr="006A546B"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624" w:type="dxa"/>
            <w:shd w:val="clear" w:color="auto" w:fill="003366"/>
          </w:tcPr>
          <w:p w14:paraId="32D4CE90" w14:textId="77777777" w:rsidR="007264E3" w:rsidRPr="006A546B" w:rsidRDefault="00000000">
            <w:pPr>
              <w:jc w:val="center"/>
            </w:pPr>
            <w:r w:rsidRPr="006A546B"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624" w:type="dxa"/>
            <w:shd w:val="clear" w:color="auto" w:fill="003366"/>
          </w:tcPr>
          <w:p w14:paraId="290549D9" w14:textId="77777777" w:rsidR="007264E3" w:rsidRPr="006A546B" w:rsidRDefault="00000000">
            <w:pPr>
              <w:jc w:val="center"/>
            </w:pPr>
            <w:r w:rsidRPr="006A546B"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624" w:type="dxa"/>
            <w:shd w:val="clear" w:color="auto" w:fill="003366"/>
          </w:tcPr>
          <w:p w14:paraId="4AEED403" w14:textId="77777777" w:rsidR="007264E3" w:rsidRPr="006A546B" w:rsidRDefault="00000000">
            <w:pPr>
              <w:jc w:val="center"/>
            </w:pPr>
            <w:r w:rsidRPr="006A546B"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624" w:type="dxa"/>
            <w:shd w:val="clear" w:color="auto" w:fill="003366"/>
          </w:tcPr>
          <w:p w14:paraId="47484A2F" w14:textId="77777777" w:rsidR="007264E3" w:rsidRPr="006A546B" w:rsidRDefault="00000000">
            <w:pPr>
              <w:jc w:val="center"/>
            </w:pPr>
            <w:r w:rsidRPr="006A546B">
              <w:rPr>
                <w:b/>
                <w:color w:val="FFFFFF"/>
                <w:sz w:val="18"/>
              </w:rPr>
              <w:t>F1-Score</w:t>
            </w:r>
          </w:p>
        </w:tc>
        <w:tc>
          <w:tcPr>
            <w:tcW w:w="1624" w:type="dxa"/>
            <w:shd w:val="clear" w:color="auto" w:fill="003366"/>
          </w:tcPr>
          <w:p w14:paraId="3B52D7C6" w14:textId="77777777" w:rsidR="007264E3" w:rsidRPr="006A546B" w:rsidRDefault="00000000">
            <w:pPr>
              <w:jc w:val="center"/>
            </w:pPr>
            <w:r w:rsidRPr="006A546B">
              <w:rPr>
                <w:b/>
                <w:color w:val="FFFFFF"/>
                <w:sz w:val="18"/>
              </w:rPr>
              <w:t>ROC-AUC</w:t>
            </w:r>
          </w:p>
        </w:tc>
      </w:tr>
      <w:tr w:rsidR="007264E3" w:rsidRPr="006A546B" w14:paraId="04EF5D61" w14:textId="77777777">
        <w:trPr>
          <w:jc w:val="center"/>
        </w:trPr>
        <w:tc>
          <w:tcPr>
            <w:tcW w:w="1624" w:type="dxa"/>
            <w:shd w:val="clear" w:color="auto" w:fill="EBF5FB"/>
          </w:tcPr>
          <w:p w14:paraId="6D268DFF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Logistic Regression</w:t>
            </w:r>
          </w:p>
        </w:tc>
        <w:tc>
          <w:tcPr>
            <w:tcW w:w="1624" w:type="dxa"/>
            <w:shd w:val="clear" w:color="auto" w:fill="EBF5FB"/>
          </w:tcPr>
          <w:p w14:paraId="7B226BF1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0.66</w:t>
            </w:r>
          </w:p>
        </w:tc>
        <w:tc>
          <w:tcPr>
            <w:tcW w:w="1624" w:type="dxa"/>
            <w:shd w:val="clear" w:color="auto" w:fill="EBF5FB"/>
          </w:tcPr>
          <w:p w14:paraId="7293E393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0.31</w:t>
            </w:r>
          </w:p>
        </w:tc>
        <w:tc>
          <w:tcPr>
            <w:tcW w:w="1624" w:type="dxa"/>
            <w:shd w:val="clear" w:color="auto" w:fill="EBF5FB"/>
          </w:tcPr>
          <w:p w14:paraId="2E8E7551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0.74</w:t>
            </w:r>
          </w:p>
        </w:tc>
        <w:tc>
          <w:tcPr>
            <w:tcW w:w="1624" w:type="dxa"/>
            <w:shd w:val="clear" w:color="auto" w:fill="EBF5FB"/>
          </w:tcPr>
          <w:p w14:paraId="2A376218" w14:textId="3242A26F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0.4</w:t>
            </w:r>
            <w:r w:rsidR="002C1EEB">
              <w:rPr>
                <w:sz w:val="18"/>
              </w:rPr>
              <w:t>37</w:t>
            </w:r>
          </w:p>
        </w:tc>
        <w:tc>
          <w:tcPr>
            <w:tcW w:w="1624" w:type="dxa"/>
            <w:shd w:val="clear" w:color="auto" w:fill="EBF5FB"/>
          </w:tcPr>
          <w:p w14:paraId="29BAF901" w14:textId="4AB04630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0.7</w:t>
            </w:r>
            <w:r w:rsidR="002C1EEB">
              <w:rPr>
                <w:sz w:val="18"/>
              </w:rPr>
              <w:t>56</w:t>
            </w:r>
          </w:p>
        </w:tc>
      </w:tr>
      <w:tr w:rsidR="007264E3" w:rsidRPr="006A546B" w14:paraId="4F7A9A96" w14:textId="77777777">
        <w:trPr>
          <w:jc w:val="center"/>
        </w:trPr>
        <w:tc>
          <w:tcPr>
            <w:tcW w:w="1624" w:type="dxa"/>
          </w:tcPr>
          <w:p w14:paraId="6DDE06B0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Random Forest</w:t>
            </w:r>
          </w:p>
        </w:tc>
        <w:tc>
          <w:tcPr>
            <w:tcW w:w="1624" w:type="dxa"/>
          </w:tcPr>
          <w:p w14:paraId="79B36D78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0.62</w:t>
            </w:r>
          </w:p>
        </w:tc>
        <w:tc>
          <w:tcPr>
            <w:tcW w:w="1624" w:type="dxa"/>
          </w:tcPr>
          <w:p w14:paraId="737B8535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0.30</w:t>
            </w:r>
          </w:p>
        </w:tc>
        <w:tc>
          <w:tcPr>
            <w:tcW w:w="1624" w:type="dxa"/>
          </w:tcPr>
          <w:p w14:paraId="64B242C1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0.80</w:t>
            </w:r>
          </w:p>
        </w:tc>
        <w:tc>
          <w:tcPr>
            <w:tcW w:w="1624" w:type="dxa"/>
          </w:tcPr>
          <w:p w14:paraId="25B7D3BC" w14:textId="678174B4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0.43</w:t>
            </w:r>
            <w:r w:rsidR="002C1EEB">
              <w:rPr>
                <w:sz w:val="18"/>
              </w:rPr>
              <w:t>2</w:t>
            </w:r>
          </w:p>
        </w:tc>
        <w:tc>
          <w:tcPr>
            <w:tcW w:w="1624" w:type="dxa"/>
          </w:tcPr>
          <w:p w14:paraId="1842A32C" w14:textId="02C9F59F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0.7</w:t>
            </w:r>
            <w:r w:rsidR="002C1EEB">
              <w:rPr>
                <w:sz w:val="18"/>
              </w:rPr>
              <w:t>55</w:t>
            </w:r>
          </w:p>
        </w:tc>
      </w:tr>
      <w:tr w:rsidR="007264E3" w:rsidRPr="006A546B" w14:paraId="37F6CC53" w14:textId="77777777">
        <w:trPr>
          <w:jc w:val="center"/>
        </w:trPr>
        <w:tc>
          <w:tcPr>
            <w:tcW w:w="1624" w:type="dxa"/>
            <w:shd w:val="clear" w:color="auto" w:fill="EBF5FB"/>
          </w:tcPr>
          <w:p w14:paraId="2D8950E6" w14:textId="77777777" w:rsidR="007264E3" w:rsidRPr="006A546B" w:rsidRDefault="00000000">
            <w:pPr>
              <w:jc w:val="center"/>
            </w:pPr>
            <w:proofErr w:type="spellStart"/>
            <w:r w:rsidRPr="006A546B">
              <w:rPr>
                <w:b/>
                <w:sz w:val="18"/>
              </w:rPr>
              <w:t>XGBoost</w:t>
            </w:r>
            <w:proofErr w:type="spellEnd"/>
          </w:p>
        </w:tc>
        <w:tc>
          <w:tcPr>
            <w:tcW w:w="1624" w:type="dxa"/>
            <w:shd w:val="clear" w:color="auto" w:fill="EBF5FB"/>
          </w:tcPr>
          <w:p w14:paraId="07F14A52" w14:textId="77777777" w:rsidR="007264E3" w:rsidRPr="006A546B" w:rsidRDefault="00000000">
            <w:pPr>
              <w:jc w:val="center"/>
            </w:pPr>
            <w:r w:rsidRPr="006A546B">
              <w:rPr>
                <w:b/>
                <w:sz w:val="18"/>
              </w:rPr>
              <w:t>0.61</w:t>
            </w:r>
          </w:p>
        </w:tc>
        <w:tc>
          <w:tcPr>
            <w:tcW w:w="1624" w:type="dxa"/>
            <w:shd w:val="clear" w:color="auto" w:fill="EBF5FB"/>
          </w:tcPr>
          <w:p w14:paraId="4EBCD932" w14:textId="77777777" w:rsidR="007264E3" w:rsidRPr="006A546B" w:rsidRDefault="00000000">
            <w:pPr>
              <w:jc w:val="center"/>
            </w:pPr>
            <w:r w:rsidRPr="006A546B">
              <w:rPr>
                <w:b/>
                <w:sz w:val="18"/>
              </w:rPr>
              <w:t>0.29</w:t>
            </w:r>
          </w:p>
        </w:tc>
        <w:tc>
          <w:tcPr>
            <w:tcW w:w="1624" w:type="dxa"/>
            <w:shd w:val="clear" w:color="auto" w:fill="EBF5FB"/>
          </w:tcPr>
          <w:p w14:paraId="3DE52FDA" w14:textId="77777777" w:rsidR="007264E3" w:rsidRPr="006A546B" w:rsidRDefault="00000000">
            <w:pPr>
              <w:jc w:val="center"/>
            </w:pPr>
            <w:r w:rsidRPr="006A546B">
              <w:rPr>
                <w:b/>
                <w:sz w:val="18"/>
              </w:rPr>
              <w:t>0.82</w:t>
            </w:r>
          </w:p>
        </w:tc>
        <w:tc>
          <w:tcPr>
            <w:tcW w:w="1624" w:type="dxa"/>
            <w:shd w:val="clear" w:color="auto" w:fill="EBF5FB"/>
          </w:tcPr>
          <w:p w14:paraId="1C698C20" w14:textId="6F324D4A" w:rsidR="007264E3" w:rsidRPr="006A546B" w:rsidRDefault="00000000">
            <w:pPr>
              <w:jc w:val="center"/>
            </w:pPr>
            <w:r w:rsidRPr="006A546B">
              <w:rPr>
                <w:b/>
                <w:sz w:val="18"/>
              </w:rPr>
              <w:t>0.43</w:t>
            </w:r>
            <w:r w:rsidR="002C1EEB">
              <w:rPr>
                <w:b/>
                <w:sz w:val="18"/>
              </w:rPr>
              <w:t>3</w:t>
            </w:r>
          </w:p>
        </w:tc>
        <w:tc>
          <w:tcPr>
            <w:tcW w:w="1624" w:type="dxa"/>
            <w:shd w:val="clear" w:color="auto" w:fill="EBF5FB"/>
          </w:tcPr>
          <w:p w14:paraId="18315782" w14:textId="3BF2DDC3" w:rsidR="007264E3" w:rsidRPr="006A546B" w:rsidRDefault="00000000">
            <w:pPr>
              <w:jc w:val="center"/>
            </w:pPr>
            <w:r w:rsidRPr="006A546B">
              <w:rPr>
                <w:b/>
                <w:sz w:val="18"/>
              </w:rPr>
              <w:t>0.7</w:t>
            </w:r>
            <w:r w:rsidR="002C1EEB">
              <w:rPr>
                <w:b/>
                <w:sz w:val="18"/>
              </w:rPr>
              <w:t>56</w:t>
            </w:r>
          </w:p>
        </w:tc>
      </w:tr>
      <w:tr w:rsidR="007264E3" w:rsidRPr="006A546B" w14:paraId="0A94C95B" w14:textId="77777777">
        <w:trPr>
          <w:jc w:val="center"/>
        </w:trPr>
        <w:tc>
          <w:tcPr>
            <w:tcW w:w="1624" w:type="dxa"/>
          </w:tcPr>
          <w:p w14:paraId="12096B8A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Deep Learning (</w:t>
            </w:r>
            <w:proofErr w:type="spellStart"/>
            <w:r w:rsidRPr="006A546B">
              <w:rPr>
                <w:sz w:val="18"/>
              </w:rPr>
              <w:t>PyTorch</w:t>
            </w:r>
            <w:proofErr w:type="spellEnd"/>
            <w:r w:rsidRPr="006A546B">
              <w:rPr>
                <w:sz w:val="18"/>
              </w:rPr>
              <w:t>)</w:t>
            </w:r>
          </w:p>
        </w:tc>
        <w:tc>
          <w:tcPr>
            <w:tcW w:w="1624" w:type="dxa"/>
          </w:tcPr>
          <w:p w14:paraId="0E6F4961" w14:textId="18FC8EE3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0.6</w:t>
            </w:r>
            <w:r w:rsidR="002C1EEB">
              <w:rPr>
                <w:sz w:val="18"/>
              </w:rPr>
              <w:t>0</w:t>
            </w:r>
          </w:p>
        </w:tc>
        <w:tc>
          <w:tcPr>
            <w:tcW w:w="1624" w:type="dxa"/>
          </w:tcPr>
          <w:p w14:paraId="5E5EC336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0.29</w:t>
            </w:r>
          </w:p>
        </w:tc>
        <w:tc>
          <w:tcPr>
            <w:tcW w:w="1624" w:type="dxa"/>
          </w:tcPr>
          <w:p w14:paraId="7473D890" w14:textId="77777777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0.82</w:t>
            </w:r>
          </w:p>
        </w:tc>
        <w:tc>
          <w:tcPr>
            <w:tcW w:w="1624" w:type="dxa"/>
          </w:tcPr>
          <w:p w14:paraId="1B480660" w14:textId="2C02568F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0.43</w:t>
            </w:r>
            <w:r w:rsidR="002C1EEB">
              <w:rPr>
                <w:sz w:val="18"/>
              </w:rPr>
              <w:t>19</w:t>
            </w:r>
          </w:p>
        </w:tc>
        <w:tc>
          <w:tcPr>
            <w:tcW w:w="1624" w:type="dxa"/>
          </w:tcPr>
          <w:p w14:paraId="3529404E" w14:textId="70BF7959" w:rsidR="007264E3" w:rsidRPr="006A546B" w:rsidRDefault="00000000">
            <w:pPr>
              <w:jc w:val="center"/>
            </w:pPr>
            <w:r w:rsidRPr="006A546B">
              <w:rPr>
                <w:sz w:val="18"/>
              </w:rPr>
              <w:t>0.75</w:t>
            </w:r>
            <w:r w:rsidR="002C1EEB">
              <w:rPr>
                <w:sz w:val="18"/>
              </w:rPr>
              <w:t>3</w:t>
            </w:r>
          </w:p>
        </w:tc>
      </w:tr>
    </w:tbl>
    <w:p w14:paraId="66F5B653" w14:textId="640B61A1" w:rsidR="006A546B" w:rsidRPr="006A546B" w:rsidRDefault="006A546B">
      <w:pPr>
        <w:spacing w:before="120" w:after="80"/>
        <w:rPr>
          <w:bCs/>
          <w:sz w:val="20"/>
        </w:rPr>
      </w:pPr>
      <w:r w:rsidRPr="006A546B">
        <w:rPr>
          <w:bCs/>
          <w:sz w:val="20"/>
        </w:rPr>
        <w:t xml:space="preserve">Analysis: All four models show similar ROC-AUCs (~0.75–0.76), indicating comparable overall ranking ability. However, ROC-AUC can be misleading in imbalanced classification problems because it is heavily influenced by the majority class (non-churners). The Precision–Recall perspective reveals that Logistic Regression achieves the highest Average Precision (AP = 0.392), followed by Random Forest (AP = 0.382) and </w:t>
      </w:r>
      <w:proofErr w:type="spellStart"/>
      <w:r w:rsidRPr="006A546B">
        <w:rPr>
          <w:bCs/>
          <w:sz w:val="20"/>
        </w:rPr>
        <w:t>XGBoost</w:t>
      </w:r>
      <w:proofErr w:type="spellEnd"/>
      <w:r w:rsidRPr="006A546B">
        <w:rPr>
          <w:bCs/>
          <w:sz w:val="20"/>
        </w:rPr>
        <w:t xml:space="preserve"> (AP = 0.372). </w:t>
      </w:r>
      <w:proofErr w:type="spellStart"/>
      <w:r w:rsidRPr="006A546B">
        <w:rPr>
          <w:bCs/>
          <w:sz w:val="20"/>
        </w:rPr>
        <w:t>XGBoost</w:t>
      </w:r>
      <w:proofErr w:type="spellEnd"/>
      <w:r w:rsidRPr="006A546B">
        <w:rPr>
          <w:bCs/>
          <w:sz w:val="20"/>
        </w:rPr>
        <w:t xml:space="preserve"> and the Deep Learning model share the highest recall (0.82), meaning they capture the most churners. If the primary business objective is to </w:t>
      </w:r>
      <w:proofErr w:type="spellStart"/>
      <w:r w:rsidRPr="006A546B">
        <w:rPr>
          <w:bCs/>
          <w:sz w:val="20"/>
        </w:rPr>
        <w:t>maximise</w:t>
      </w:r>
      <w:proofErr w:type="spellEnd"/>
      <w:r w:rsidRPr="006A546B">
        <w:rPr>
          <w:bCs/>
          <w:sz w:val="20"/>
        </w:rPr>
        <w:t xml:space="preserve"> churn capture, even at the expense of more false positives, </w:t>
      </w:r>
      <w:proofErr w:type="spellStart"/>
      <w:r w:rsidRPr="006A546B">
        <w:rPr>
          <w:bCs/>
          <w:sz w:val="20"/>
        </w:rPr>
        <w:t>XGBoost</w:t>
      </w:r>
      <w:proofErr w:type="spellEnd"/>
      <w:r w:rsidRPr="006A546B">
        <w:rPr>
          <w:bCs/>
          <w:sz w:val="20"/>
        </w:rPr>
        <w:t xml:space="preserve"> is recommended as the final production model due to its superior recall, lower complexity than deep learning, and excellent interpretability.</w:t>
      </w:r>
    </w:p>
    <w:p w14:paraId="08FD5372" w14:textId="4B8BB102" w:rsidR="007264E3" w:rsidRPr="006A546B" w:rsidRDefault="00000000">
      <w:pPr>
        <w:spacing w:before="120" w:after="80"/>
      </w:pPr>
      <w:r w:rsidRPr="006A546B">
        <w:rPr>
          <w:b/>
          <w:color w:val="006600"/>
          <w:sz w:val="20"/>
        </w:rPr>
        <w:t xml:space="preserve">Recommended Model: </w:t>
      </w:r>
      <w:proofErr w:type="spellStart"/>
      <w:r w:rsidRPr="006A546B">
        <w:rPr>
          <w:b/>
          <w:color w:val="006600"/>
          <w:sz w:val="20"/>
        </w:rPr>
        <w:t>XGBoost</w:t>
      </w:r>
      <w:proofErr w:type="spellEnd"/>
      <w:r w:rsidRPr="006A546B">
        <w:rPr>
          <w:sz w:val="18"/>
        </w:rPr>
        <w:t xml:space="preserve"> — delivers the highest churn recall (0.82) with feature-importance interpretability and lower infrastructure cost than the Deep Learning model. For precision-sensitive, budget-constrained campaigns, Logistic Regression (AP = 0.392) offers a better </w:t>
      </w:r>
      <w:r w:rsidR="006A546B" w:rsidRPr="006A546B">
        <w:rPr>
          <w:sz w:val="18"/>
        </w:rPr>
        <w:t>trade-off between precision and recall</w:t>
      </w:r>
      <w:r w:rsidRPr="006A546B">
        <w:rPr>
          <w:sz w:val="18"/>
        </w:rPr>
        <w:t>.</w:t>
      </w:r>
    </w:p>
    <w:p w14:paraId="7976F668" w14:textId="77777777" w:rsidR="007264E3" w:rsidRPr="006A546B" w:rsidRDefault="00000000">
      <w:pPr>
        <w:spacing w:before="160" w:after="80"/>
      </w:pPr>
      <w:r w:rsidRPr="006A546B">
        <w:rPr>
          <w:b/>
          <w:color w:val="003366"/>
          <w:sz w:val="26"/>
        </w:rPr>
        <w:t>3. Insights</w:t>
      </w:r>
    </w:p>
    <w:p w14:paraId="63D7E43F" w14:textId="77777777" w:rsidR="007264E3" w:rsidRPr="006A546B" w:rsidRDefault="00000000">
      <w:pPr>
        <w:spacing w:before="120" w:after="60"/>
      </w:pPr>
      <w:r w:rsidRPr="006A546B">
        <w:rPr>
          <w:b/>
          <w:sz w:val="21"/>
        </w:rPr>
        <w:t>3.1 Data Preparation &amp; Feature Engineering</w:t>
      </w:r>
    </w:p>
    <w:p w14:paraId="6C5C3773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 xml:space="preserve">Dataset: 5,000 customers, 19 raw features. Missing values in </w:t>
      </w:r>
      <w:proofErr w:type="spellStart"/>
      <w:r w:rsidRPr="006A546B">
        <w:rPr>
          <w:sz w:val="18"/>
        </w:rPr>
        <w:t>internet_service</w:t>
      </w:r>
      <w:proofErr w:type="spellEnd"/>
      <w:r w:rsidRPr="006A546B">
        <w:rPr>
          <w:sz w:val="18"/>
        </w:rPr>
        <w:t xml:space="preserve"> (14.78%), </w:t>
      </w:r>
      <w:proofErr w:type="spellStart"/>
      <w:r w:rsidRPr="006A546B">
        <w:rPr>
          <w:sz w:val="18"/>
        </w:rPr>
        <w:t>total_charges</w:t>
      </w:r>
      <w:proofErr w:type="spellEnd"/>
      <w:r w:rsidRPr="006A546B">
        <w:rPr>
          <w:sz w:val="18"/>
        </w:rPr>
        <w:t xml:space="preserve"> (4%), and </w:t>
      </w:r>
      <w:proofErr w:type="spellStart"/>
      <w:r w:rsidRPr="006A546B">
        <w:rPr>
          <w:sz w:val="18"/>
        </w:rPr>
        <w:t>data_usage_gb</w:t>
      </w:r>
      <w:proofErr w:type="spellEnd"/>
      <w:r w:rsidRPr="006A546B">
        <w:rPr>
          <w:sz w:val="18"/>
        </w:rPr>
        <w:t xml:space="preserve"> (2%) were handled via categorical fill ('None') and median imputation.</w:t>
      </w:r>
    </w:p>
    <w:p w14:paraId="28C82C91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Class imbalance (18.1% churn vs. 81.9% non-churn) was addressed with SMOTE oversampling during training to prevent model bias toward the majority class.</w:t>
      </w:r>
    </w:p>
    <w:p w14:paraId="22627ED5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Feature Engineering — Three domain-driven variables were created to improve predictive signal:</w:t>
      </w:r>
      <w:r w:rsidRPr="006A546B">
        <w:rPr>
          <w:sz w:val="18"/>
        </w:rPr>
        <w:br/>
        <w:t xml:space="preserve">    • </w:t>
      </w:r>
      <w:proofErr w:type="spellStart"/>
      <w:r w:rsidRPr="006A546B">
        <w:rPr>
          <w:sz w:val="18"/>
        </w:rPr>
        <w:t>tenure_months_group</w:t>
      </w:r>
      <w:proofErr w:type="spellEnd"/>
      <w:r w:rsidRPr="006A546B">
        <w:rPr>
          <w:sz w:val="18"/>
        </w:rPr>
        <w:t xml:space="preserve"> — Bins tenure into lifecycle stages: 'new' (0–12 </w:t>
      </w:r>
      <w:proofErr w:type="spellStart"/>
      <w:r w:rsidRPr="006A546B">
        <w:rPr>
          <w:sz w:val="18"/>
        </w:rPr>
        <w:t>mo</w:t>
      </w:r>
      <w:proofErr w:type="spellEnd"/>
      <w:r w:rsidRPr="006A546B">
        <w:rPr>
          <w:sz w:val="18"/>
        </w:rPr>
        <w:t xml:space="preserve">), 'early' (13–24), 'mid' (25–48), 'loyal' (49+). Rationale: churn risk is non-linear with tenure; early-stage customers churn at disproportionately higher rates, and </w:t>
      </w:r>
      <w:r w:rsidRPr="006A546B">
        <w:rPr>
          <w:sz w:val="18"/>
        </w:rPr>
        <w:lastRenderedPageBreak/>
        <w:t>encoding this as a categorical feature helps both linear and tree-based models.</w:t>
      </w:r>
      <w:r w:rsidRPr="006A546B">
        <w:rPr>
          <w:sz w:val="18"/>
        </w:rPr>
        <w:br/>
        <w:t xml:space="preserve">    • </w:t>
      </w:r>
      <w:proofErr w:type="spellStart"/>
      <w:r w:rsidRPr="006A546B">
        <w:rPr>
          <w:sz w:val="18"/>
        </w:rPr>
        <w:t>services_count</w:t>
      </w:r>
      <w:proofErr w:type="spellEnd"/>
      <w:r w:rsidRPr="006A546B">
        <w:rPr>
          <w:sz w:val="18"/>
        </w:rPr>
        <w:t xml:space="preserve"> — Sum of add-on services (streaming TV, tech support, online backup). Rationale: higher service adoption indicates deeper platform engagement and 'stickiness'; customers with zero add-ons are significantly more likely to leave.</w:t>
      </w:r>
      <w:r w:rsidRPr="006A546B">
        <w:rPr>
          <w:sz w:val="18"/>
        </w:rPr>
        <w:br/>
        <w:t xml:space="preserve">    • </w:t>
      </w:r>
      <w:proofErr w:type="spellStart"/>
      <w:r w:rsidRPr="006A546B">
        <w:rPr>
          <w:sz w:val="18"/>
        </w:rPr>
        <w:t>high_risk_flag</w:t>
      </w:r>
      <w:proofErr w:type="spellEnd"/>
      <w:r w:rsidRPr="006A546B">
        <w:rPr>
          <w:sz w:val="18"/>
        </w:rPr>
        <w:t xml:space="preserve"> — Binary flag that activates when a customer is on a month-to-month contract, pays via electronic check, AND has zero add-on services. Rationale: this three-way combination captures the highest-risk </w:t>
      </w:r>
      <w:proofErr w:type="spellStart"/>
      <w:r w:rsidRPr="006A546B">
        <w:rPr>
          <w:sz w:val="18"/>
        </w:rPr>
        <w:t>behavioural</w:t>
      </w:r>
      <w:proofErr w:type="spellEnd"/>
      <w:r w:rsidRPr="006A546B">
        <w:rPr>
          <w:sz w:val="18"/>
        </w:rPr>
        <w:t xml:space="preserve"> profile — minimal commitment, frictionless payment exit, and low engagement — identified during exploratory data analysis.</w:t>
      </w:r>
    </w:p>
    <w:p w14:paraId="37A88826" w14:textId="77777777" w:rsidR="007264E3" w:rsidRPr="006A546B" w:rsidRDefault="00000000">
      <w:pPr>
        <w:spacing w:before="120" w:after="60"/>
      </w:pPr>
      <w:r w:rsidRPr="006A546B">
        <w:rPr>
          <w:b/>
          <w:sz w:val="21"/>
        </w:rPr>
        <w:t>3.2 Key Churn Drivers</w:t>
      </w:r>
    </w:p>
    <w:p w14:paraId="577BDA51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Contract Type: Month-to-month customers churn at significantly higher rates than those on annual or two-year contracts.</w:t>
      </w:r>
    </w:p>
    <w:p w14:paraId="45733E53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Tenure: Customers with &lt; 12 months tenure are the highest-risk group; early onboarding experience is critical.</w:t>
      </w:r>
    </w:p>
    <w:p w14:paraId="712ADB61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Monthly Charges: Higher charges correlate with churn, especially among customers who do not perceive proportional value.</w:t>
      </w:r>
    </w:p>
    <w:p w14:paraId="142F014A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Support Tickets: Elevated ticket counts are a strong churn signal, reflecting ongoing service dissatisfaction.</w:t>
      </w:r>
    </w:p>
    <w:p w14:paraId="6A5140D5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Internet Service: Fiber Optic customers churn more than DSL or no-internet customers, likely due to pricing or quality gaps.</w:t>
      </w:r>
    </w:p>
    <w:p w14:paraId="4A311A1F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Payment Method: Electronic check users churn more — possibly reflecting lower commitment compared to auto-pay methods.</w:t>
      </w:r>
    </w:p>
    <w:p w14:paraId="58C402EF" w14:textId="77777777" w:rsidR="007264E3" w:rsidRPr="006A546B" w:rsidRDefault="00000000">
      <w:pPr>
        <w:spacing w:before="120" w:after="60"/>
      </w:pPr>
      <w:r w:rsidRPr="006A546B">
        <w:rPr>
          <w:b/>
          <w:sz w:val="21"/>
        </w:rPr>
        <w:t>3.3 High-Risk Customer Segments</w:t>
      </w:r>
    </w:p>
    <w:p w14:paraId="72B16556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Short-tenure (&lt; 12 months), month-to-month contract customers with Fiber Optic internet and no tech support or online backup.</w:t>
      </w:r>
    </w:p>
    <w:p w14:paraId="1A897E45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Customers with above-median monthly charges (&gt; ~$64.60) and 3+ support tickets in the last quarter.</w:t>
      </w:r>
    </w:p>
    <w:p w14:paraId="27BDD171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Senior citizens without partners, particularly those using electronic check payment.</w:t>
      </w:r>
    </w:p>
    <w:p w14:paraId="3818B49E" w14:textId="77777777" w:rsidR="007264E3" w:rsidRPr="006A546B" w:rsidRDefault="00000000">
      <w:pPr>
        <w:spacing w:before="160" w:after="80"/>
      </w:pPr>
      <w:r w:rsidRPr="006A546B">
        <w:rPr>
          <w:b/>
          <w:color w:val="003366"/>
          <w:sz w:val="26"/>
        </w:rPr>
        <w:t>4. Business Recommendations</w:t>
      </w:r>
    </w:p>
    <w:p w14:paraId="26D5DFB3" w14:textId="77777777" w:rsidR="007264E3" w:rsidRPr="006A546B" w:rsidRDefault="00000000">
      <w:pPr>
        <w:spacing w:after="80"/>
      </w:pPr>
      <w:r w:rsidRPr="006A546B">
        <w:rPr>
          <w:sz w:val="19"/>
        </w:rPr>
        <w:t>Based on the analysis, we recommend the following three strategies to reduce customer churn:</w:t>
      </w:r>
    </w:p>
    <w:p w14:paraId="75F3A8BF" w14:textId="77777777" w:rsidR="007264E3" w:rsidRPr="006A546B" w:rsidRDefault="00000000">
      <w:pPr>
        <w:spacing w:before="80" w:after="40"/>
      </w:pPr>
      <w:r w:rsidRPr="006A546B">
        <w:rPr>
          <w:b/>
          <w:color w:val="003366"/>
          <w:sz w:val="20"/>
        </w:rPr>
        <w:t>Recommendation 1: Proactive Retention for Short-Tenure Customers</w:t>
      </w:r>
    </w:p>
    <w:p w14:paraId="1F9D959C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Insight: Short-tenure customers (&lt; 12 months) on month-to-month contracts are the highest-risk segment.</w:t>
      </w:r>
    </w:p>
    <w:p w14:paraId="7B813CA3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 xml:space="preserve">Action: Implement a structured onboarding </w:t>
      </w:r>
      <w:proofErr w:type="spellStart"/>
      <w:r w:rsidRPr="006A546B">
        <w:rPr>
          <w:sz w:val="18"/>
        </w:rPr>
        <w:t>programme</w:t>
      </w:r>
      <w:proofErr w:type="spellEnd"/>
      <w:r w:rsidRPr="006A546B">
        <w:rPr>
          <w:sz w:val="18"/>
        </w:rPr>
        <w:t xml:space="preserve"> with </w:t>
      </w:r>
      <w:proofErr w:type="spellStart"/>
      <w:r w:rsidRPr="006A546B">
        <w:rPr>
          <w:sz w:val="18"/>
        </w:rPr>
        <w:t>personalised</w:t>
      </w:r>
      <w:proofErr w:type="spellEnd"/>
      <w:r w:rsidRPr="006A546B">
        <w:rPr>
          <w:sz w:val="18"/>
        </w:rPr>
        <w:t xml:space="preserve"> check-ins at 30, 60, and 90 days. Offer incentive-based upgrades to annual contracts within the first quarter.</w:t>
      </w:r>
    </w:p>
    <w:p w14:paraId="2800378C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Impact: Targeting early-stage churn could reduce attrition by 15–20%; retaining existing customers costs 5–7× less than acquiring new ones.</w:t>
      </w:r>
    </w:p>
    <w:p w14:paraId="2B5FB2ED" w14:textId="77777777" w:rsidR="007264E3" w:rsidRPr="006A546B" w:rsidRDefault="00000000">
      <w:pPr>
        <w:spacing w:before="80" w:after="40"/>
      </w:pPr>
      <w:r w:rsidRPr="006A546B">
        <w:rPr>
          <w:b/>
          <w:color w:val="003366"/>
          <w:sz w:val="20"/>
        </w:rPr>
        <w:t>Recommendation 2: Improve Fiber Optic Service Quality &amp; Support</w:t>
      </w:r>
    </w:p>
    <w:p w14:paraId="1160095D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Insight: Fiber Optic customers churn at higher rates, and elevated support tickets are a strong churn predictor.</w:t>
      </w:r>
    </w:p>
    <w:p w14:paraId="2C53F167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Action: Conduct root-cause analysis of Fiber Optic complaints. Create a dedicated support tier for high-value Fiber customers and proactively reach out when tickets exceed 3 in a 3-month window.</w:t>
      </w:r>
    </w:p>
    <w:p w14:paraId="2B60D43C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Impact: Addressing the core dissatisfaction drivers could reduce Fiber Optic churn by 10–15%.</w:t>
      </w:r>
    </w:p>
    <w:p w14:paraId="3CBAD724" w14:textId="77777777" w:rsidR="007264E3" w:rsidRPr="006A546B" w:rsidRDefault="00000000">
      <w:pPr>
        <w:spacing w:before="80" w:after="40"/>
      </w:pPr>
      <w:r w:rsidRPr="006A546B">
        <w:rPr>
          <w:b/>
          <w:color w:val="003366"/>
          <w:sz w:val="20"/>
        </w:rPr>
        <w:t>Recommendation 3: Drive Service Bundling &amp; Value-Based Pricing</w:t>
      </w:r>
    </w:p>
    <w:p w14:paraId="66DC55A5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Insight: Customers with zero add-on services (tech support, streaming, online backup) churn at significantly higher rates. High monthly charges without perceived value further accelerate attrition.</w:t>
      </w:r>
    </w:p>
    <w:p w14:paraId="2DCE856A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 xml:space="preserve">Action: Introduce discounted service bundles that encourage adoption of 2+ add-ons. Offer value-aligned pricing tiers so high-charge customers receive visible benefits. </w:t>
      </w:r>
      <w:proofErr w:type="spellStart"/>
      <w:r w:rsidRPr="006A546B">
        <w:rPr>
          <w:sz w:val="18"/>
        </w:rPr>
        <w:t>Incentivise</w:t>
      </w:r>
      <w:proofErr w:type="spellEnd"/>
      <w:r w:rsidRPr="006A546B">
        <w:rPr>
          <w:sz w:val="18"/>
        </w:rPr>
        <w:t xml:space="preserve"> migration from electronic check to auto-pay methods (e.g., small monthly discount) to increase payment stickiness.</w:t>
      </w:r>
    </w:p>
    <w:p w14:paraId="66E1119E" w14:textId="77777777" w:rsidR="007264E3" w:rsidRPr="006A546B" w:rsidRDefault="00000000">
      <w:pPr>
        <w:pStyle w:val="ListBullet"/>
        <w:spacing w:after="40"/>
      </w:pPr>
      <w:r w:rsidRPr="006A546B">
        <w:rPr>
          <w:sz w:val="18"/>
        </w:rPr>
        <w:t>Impact: Increasing service adoption deepens engagement and raises switching costs. Customers with 2+ services show markedly lower churn, making bundling a high-leverage retention lever.</w:t>
      </w:r>
    </w:p>
    <w:p w14:paraId="636DB9A1" w14:textId="77777777" w:rsidR="007264E3" w:rsidRPr="006A546B" w:rsidRDefault="00000000">
      <w:pPr>
        <w:spacing w:before="200"/>
        <w:jc w:val="center"/>
      </w:pPr>
      <w:r w:rsidRPr="006A546B">
        <w:rPr>
          <w:rFonts w:ascii="MS Mincho" w:eastAsia="MS Mincho" w:hAnsi="MS Mincho" w:cs="MS Mincho" w:hint="eastAsia"/>
          <w:color w:val="003366"/>
          <w:sz w:val="12"/>
        </w:rPr>
        <w:t>━━━━━━━━━━━━━━━━━━━━━━━━━━━━━━━━━━━━━━━━━━━━━━━━━━━━━━━━━━━━━━━━━━━━━━━━━━━</w:t>
      </w:r>
    </w:p>
    <w:p w14:paraId="03775086" w14:textId="545B830F" w:rsidR="007264E3" w:rsidRPr="006A546B" w:rsidRDefault="007264E3">
      <w:pPr>
        <w:jc w:val="center"/>
      </w:pPr>
    </w:p>
    <w:sectPr w:rsidR="007264E3" w:rsidRPr="006A546B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215896">
    <w:abstractNumId w:val="8"/>
  </w:num>
  <w:num w:numId="2" w16cid:durableId="64452441">
    <w:abstractNumId w:val="6"/>
  </w:num>
  <w:num w:numId="3" w16cid:durableId="1358385674">
    <w:abstractNumId w:val="5"/>
  </w:num>
  <w:num w:numId="4" w16cid:durableId="3827256">
    <w:abstractNumId w:val="4"/>
  </w:num>
  <w:num w:numId="5" w16cid:durableId="301228105">
    <w:abstractNumId w:val="7"/>
  </w:num>
  <w:num w:numId="6" w16cid:durableId="281885514">
    <w:abstractNumId w:val="3"/>
  </w:num>
  <w:num w:numId="7" w16cid:durableId="306711463">
    <w:abstractNumId w:val="2"/>
  </w:num>
  <w:num w:numId="8" w16cid:durableId="2066558889">
    <w:abstractNumId w:val="1"/>
  </w:num>
  <w:num w:numId="9" w16cid:durableId="145270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EEB"/>
    <w:rsid w:val="002C4BBA"/>
    <w:rsid w:val="00326F90"/>
    <w:rsid w:val="00667A26"/>
    <w:rsid w:val="006A546B"/>
    <w:rsid w:val="007264E3"/>
    <w:rsid w:val="007E74DF"/>
    <w:rsid w:val="00AA1D8D"/>
    <w:rsid w:val="00B47730"/>
    <w:rsid w:val="00B47C9F"/>
    <w:rsid w:val="00CB0664"/>
    <w:rsid w:val="00CD07FE"/>
    <w:rsid w:val="00F91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16EBD"/>
  <w14:defaultImageDpi w14:val="300"/>
  <w15:docId w15:val="{6B702B22-D1C0-4BCA-8671-3520A3FC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Gupta (BDA 25-27)</cp:lastModifiedBy>
  <cp:revision>6</cp:revision>
  <dcterms:created xsi:type="dcterms:W3CDTF">2013-12-23T23:15:00Z</dcterms:created>
  <dcterms:modified xsi:type="dcterms:W3CDTF">2026-05-02T05:16:00Z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cf40b171-63be-40fb-9cb6-d3a7be729bb4</vt:lpwstr>
  </property>
</Properties>
</file>