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SHUBHAM</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sbkumar1407@gmail.com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"An Interactive Agent Foundation Model"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https://arxiv.org/abs/2402.05929</w:t>
      </w:r>
      <w:r w:rsidDel="00000000" w:rsidR="00000000" w:rsidRPr="00000000">
        <w:rPr>
          <w:rtl w:val="0"/>
        </w:rPr>
      </w:r>
    </w:p>
    <w:p w:rsidR="00000000" w:rsidDel="00000000" w:rsidP="00000000" w:rsidRDefault="00000000" w:rsidRPr="00000000" w14:paraId="00000007">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initial prompt of "An Interactive Agent Foundation Model" introduces an AI framework for creating autonomous agents capable of multi-modal perception, planning, and human interaction in complex environments, both physical and virtual. It emphasizes practical applications beyond simulations, aiming to enhance agent adaptability and effectiveness in real-world tasks.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"An Interactive Agent Foundation Model" paper discusses developing intelligent agents that autonomously navigate and interact in physical and virtual environments. The framework integrates visual perception and language understanding to enhance agents' contextual reasoning and task execution. It aims to transition embodied agent technology from controlled research settings to practical, real-world applications. The paper emphasizes key components like multi-sensory perception, dynamic planning, and effective human-agent interaction to create more adaptable and efficient AI systems.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C">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iteration of the "An Interactive Agent Foundation Model" focuses on developing a multi-modal model that combines visual and linguistic understanding to enable autonomous agents to perform tasks in dynamic environments. It integrates perception, planning, and interaction capabilities to handle complex scenarios, including real-world and virtual settings.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iteration of the "An Interactive Agent Foundation Model" introduces a multi-modal approach to equip autonomous agents with capabilities to perceive, plan, and interact effectively in complex environments. This model combines visual and language understanding to enhance adaptability and performance in real-world and virtual scenarios, setting the groundwork for more advanced iterations.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1">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iteration improves the model's integration of visual and linguistic data, enhancing contextual understanding and decision-making. It introduces advanced planning and interaction strategies, enabling agents to autonomously handle complex tasks and adapt to real-world uncertainties in both structured and unstructured environments.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iteration of the "Interactive Agent Foundation Model" enhances agents' ability to process visual and linguistic data simultaneously, improving contextual understanding and decision-making in diverse environments. It focuses on advanced planning and interaction techniques, enabling agents to perform complex tasks more autonomously and adapt effectively to both structured and unstructured real-world scenarios.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final prompt of the paper "An Interactive Agent Foundation Model" is a call to action for future research. It emphasizes the potential of the proposed interactive agent foundation model to advance the development of more sophisticated and adaptable agents. The authors highlight the importance of continued exploration in improving interaction capabilities, scalability, and real-world applicability.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prompt of the paper highlights the necessity for further research to enhance the interactive agent foundation model. It underscores the potential of this model to improve interaction capabilities, scalability, and real-world applicability. The authors advocate for continued exploration to refine the model and adapt it to various interactive scenarios, aiming to advance the development of more sophisticated and versatile agents. This call to action encourages expanding the model’s utility and effectiveness in diverse practical applications.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insight from the paper "An Interactive Agent Foundation Model" is the development of a robust framework that enhances interactive agents' performance in dynamic and complex environments. The model focuses on improving scalability and interaction capabilities, allowing agents to better adapt to varied scenarios and tasks. By emphasizing real-world applicability, the framework aims to make agents more versatile and effective in practical applications. This advancement offers a significant boost to the ability of interactive systems to engage meaningfully and responsively, thereby addressing limitations of previous models and broadening their potential use in diverse contexts.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1.Enhanced Virtual Assistants:Improving personal and professional virtual assistants to handle complex and nuanced interactions more effectively.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2.Advanced Customer Support:Developing agents capable of providing more sophisticated and responsive customer service in various industries.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nteractive Learning Systems:Creating adaptive educational tools that interact dynamically with students, enhancing personalized learning experiences.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4.Smart Home Devices:Upgrading smart home systems to better unde</w:t>
      </w:r>
      <w:r w:rsidDel="00000000" w:rsidR="00000000" w:rsidRPr="00000000">
        <w:rPr>
          <w:rFonts w:ascii="Arial" w:cs="Arial" w:eastAsia="Arial" w:hAnsi="Arial"/>
          <w:rtl w:val="0"/>
        </w:rPr>
        <w:t xml:space="preserve">rstanding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5.Healthcare:Implementing interactive agents for patient care, including mental health support and personalized medical advic</w:t>
      </w:r>
      <w:r w:rsidDel="00000000" w:rsidR="00000000" w:rsidRPr="00000000">
        <w:rPr>
          <w:rFonts w:ascii="Arial" w:cs="Arial" w:eastAsia="Arial" w:hAnsi="Arial"/>
          <w:rtl w:val="0"/>
        </w:rPr>
        <w:t xml:space="preserve">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summary and insights of the paper are clear, highlighting the model’s advancements in scalability and interaction. It effectively outlines potential applications, such as improving virtual assistants, customer support, educational tools, smart home devices, healthcare, and gaming. The clarity facilitates a strong understanding of the model’s impact and uses.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1"/>
          <w:rtl w:val="0"/>
        </w:rPr>
        <w:t xml:space="preserve">):The assessment of clarity in the previous summary is accurate. It correctly identifies that the final summary and insights provide a clear understanding of the model's advancements and potential applications. The summary effectively conveys the model’s enhancements and its implications across various fields, ensuring a comprehensive grasp of its impact and uses.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insights and potential applications of the "An Interactive Agent Foundation Model" research paper are highly relevant. The model's advancements in scalability and interaction capabilities can significantly impact various domains.Overall, the insights are well-aligned with industry trends and needs, making them highly relevant.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Reflecting on the "An Interactive Agent Foundation Model" research paper, my learning experience has been enlightening, particularly regarding the complexities of enhancing interactive agents. The paper’s focus on scalability and real-world applicability provided a deep understanding of how foundational models can be adapted for diverse tasks and environments.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significant challenge faced was grasping the intricacies of how the model improves interaction capabilities and scalability. The technical details required careful examination to fully appreciate how these advancements contribute to more versatile and effective agents. The paper’s emphasis on practical applications, such as virtual assistants and smart home devices, underscored the importance of bridging theoretical research with real-world uses.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insight gained was the model’s potential to significantly enhance agent performance across various domains. This includes making customer support systems more responsive and adaptive, improving educational tools for personalized learning, and enriching user experiences in gaming. The research highlights the model's ability to address limitations in existing interactive systems, providing a clearer path for future development in AI and interactive technology. Overall, this paper demonstrates the practical impact of advanced models on everyday applications and future innovations.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