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Below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43%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once financial behaviour is known. </w:t>
      </w:r>
      <w:r>
        <w:rPr>
          <w:rFonts w:ascii="Calibri" w:cs="Calibri" w:eastAsia="Calibri" w:hAnsi="Calibri"/>
          <w:sz w:val="22"/>
          <w:szCs w:val="22"/>
        </w:rPr>
        <w:t xml:space="preserve">Sales and self-employed applicants default more often (35% and 30%) and office workers least (13%), but removing occupation and loan purpose from the final model changed its performance by at most one point. The production model can run without them, which simplifies fair-lending compliance.</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 class-weighted Random Forest scored 0.96 on risk-ranking quality (ROC-AUC, where 1.0 means every defaulter is ranked above every repayer) against 0.91 for logistic regression, and at a similar share of defaulters caught it declined far fewer good customers.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trees, class weights {repaid: 0.2, default: 0.8}, scikit-learn defaults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10 financial attributes (LOAN, MORTDUE, VALUE, YOJ, DEROG, DELINQ, CLAGE, NINQ, CLNO, DEBTINC) plus two indicator flags: debt-to-income ratio missing and property value missing. Occupation and loan purpose are not required.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mode for categorical gaps,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as likely default when predicted probability &gt; 0.25 (cost-minimising value under the stated loss assumptions), instead of the default 0.5</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pruned Decision Tree (balanced class weights, minimum 20 applicants per leaf) trained on the same data; its rules on debt-to-income, delinquencies, derogatory reports and credit-history length supply the adverse-action reasons required under the Equal Credit Opportunity Act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93.3% of defaulters caught (recall), 67.0% precision, 89.5% accuracy, risk-ranking quality (ROC-AUC) 0.96. At the default 0.5 threshold: 78.4% recall, 77.3% precision, 91.1%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train/test split; hyper-parameters chosen by 3- and 5-fold stratified cross-validation on the training set only</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calibrate: </w:t>
      </w:r>
      <w:r>
        <w:rPr>
          <w:rFonts w:ascii="Calibri" w:cs="Calibri" w:eastAsia="Calibri" w:hAnsi="Calibri"/>
          <w:sz w:val="22"/>
          <w:szCs w:val="22"/>
        </w:rPr>
        <w:t xml:space="preserve">the head of consumer credit approves the three-band policy (approve / refer / decline); finance supplies actual loss-given-default and margin figures so the 0.25 threshold can be confirmed.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and property-valuation verification mandatory fields, since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and complete a fair-lending review before switching it on.</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and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the proposed model is expected to catch about 187 of the 200 defaulters, miss about 13, and decline about 92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more than 80%.</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 bagged ensemble of trees and a random forest were trained on the same 70/30 stratified split, tuned with cross-validated grid search optimising recall, and evaluated on the held-out 30%. Building up from one tree to bagging to a forest makes the contribution of each idea visible.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RF (class weights), threshold 0.25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and ROC-AUC from 0.81 to 0.95. The class-weighted forest adds feature sub-sampling and class weights, catches 78% at 77% precision and ranks applicants by risk most accurately (ROC-AUC 0.96), which is what makes the next step possible.</w:t>
      </w:r>
    </w:p>
    <w:p>
      <w:pPr>
        <w:spacing w:after="140" w:line="276"/>
        <w:jc w:val="both"/>
      </w:pPr>
      <w:r>
        <w:rPr>
          <w:rFonts w:ascii="Calibri" w:cs="Calibri" w:eastAsia="Calibri" w:hAnsi="Calibri"/>
          <w:b/>
          <w:bCs/>
          <w:sz w:val="22"/>
          <w:szCs w:val="22"/>
        </w:rPr>
        <w:t xml:space="preserve">The decision threshold was set from business cost, not convention. </w:t>
      </w:r>
      <w:r>
        <w:rPr>
          <w:rFonts w:ascii="Calibri" w:cs="Calibri" w:eastAsia="Calibri" w:hAnsi="Calibri"/>
          <w:sz w:val="22"/>
          <w:szCs w:val="22"/>
        </w:rPr>
        <w:t xml:space="preserve">Because the forest ranks risk so well, lowering its decision threshold from 0.5 to 0.25 raises the share of defaulters caught from 78% to 93% while precision falls only from 77% to 67%. Under the indicative cost assumptions this is the cost-minimising operating point, and every threshold between 0.20 and 0.30 is within 12% of it, so the choice is robust.</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w:t>
      </w:r>
    </w:p>
    <w:p>
      <w:pPr>
        <w:spacing w:after="140" w:line="276"/>
        <w:jc w:val="both"/>
      </w:pPr>
      <w:r>
        <w:rPr>
          <w:rFonts w:ascii="Calibri" w:cs="Calibri" w:eastAsia="Calibri" w:hAnsi="Calibri"/>
          <w:b/>
          <w:bCs/>
          <w:sz w:val="22"/>
          <w:szCs w:val="22"/>
        </w:rPr>
        <w:t xml:space="preserve">Interpretability is provided by a companion decision tree. </w:t>
      </w:r>
      <w:r>
        <w:rPr>
          <w:rFonts w:ascii="Calibri" w:cs="Calibri" w:eastAsia="Calibri" w:hAnsi="Calibri"/>
          <w:sz w:val="22"/>
          <w:szCs w:val="22"/>
        </w:rPr>
        <w:t xml:space="preserve">A forest of 200 trees cannot be read as a rule list, but the pruned decision tree trained on the same data can, and it uses the same drivers in the same order: is the debt-to-income ratio missing; is it above about 44%; how many delinquent credit lines; how many derogatory reports; how long is the credit history. Those rules supply the adverse-action reasons, while the forest's feature importances (Figure 3) and per-applicant reason codes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the Random Forest relies on most. The debt-to-income ratio and its missing-value flag together carry more than half (52.6%) of the model's decision power.</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187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92 of every 1,000 applicants would be declined or referred although they would have repaid. This is the price of catching defaulters; it is far lower than the single decision tree's 143 and can be reduced further by routing borderline cases to a human underwriter instead of declining them outright.</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Clear approvals and clear declines can be automated; underwriters focus on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class-weighted Random Forest as a decision-support score, </w:t>
      </w:r>
      <w:r>
        <w:rPr>
          <w:rFonts w:ascii="Calibri" w:cs="Calibri" w:eastAsia="Calibri" w:hAnsi="Calibri"/>
          <w:sz w:val="22"/>
          <w:szCs w:val="22"/>
        </w:rPr>
        <w:t xml:space="preserve">integrated into the existing underwriting workflow, with the probability threshold of 0.25 as the initial setting and a three-band outcome: approve (probability below about 0.15), refer to an underwriter (0.15 to 0.40) and decline (above 0.40). The bands keep a human in the loop where the model is least certain.</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with two or more delinquent credit lines, or with two or more major derogatory reports. These rules are transparent, easy to communicate and consistent with the model.</w:t>
      </w:r>
    </w:p>
    <w:p>
      <w:pPr>
        <w:pStyle w:val="ListParagraph"/>
        <w:numPr>
          <w:ilvl w:val="0"/>
          <w:numId w:val="3"/>
        </w:numPr>
        <w:spacing w:after="100" w:line="264"/>
      </w:pPr>
      <w:r>
        <w:rPr>
          <w:rFonts w:ascii="Calibri" w:cs="Calibri" w:eastAsia="Calibri" w:hAnsi="Calibri"/>
          <w:b/>
          <w:bCs/>
          <w:sz w:val="22"/>
          <w:szCs w:val="22"/>
        </w:rPr>
        <w:t xml:space="preserve">Use the pruned decision tree for adverse-action reasons. </w:t>
      </w:r>
      <w:r>
        <w:rPr>
          <w:rFonts w:ascii="Calibri" w:cs="Calibri" w:eastAsia="Calibri" w:hAnsi="Calibri"/>
          <w:sz w:val="22"/>
          <w:szCs w:val="22"/>
        </w:rPr>
        <w:t xml:space="preserve">Generate the reason codes for every decline from the tree's rules and the applicant's top risk drivers, and store them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Calibrate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re-run the cost table before go-live. The analysis shows the optimum is stable across a range of thresholds, so this step refines rather than changes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compare outcomes, and test approval and error rates across protected groups. Occupation should stay out of the model unless the review clears it.</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0.25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calibrate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Average loan of $18,600 (the dataset mean). Loss given default of about 50% of the loan, so a missed defaulter costs about $9,000 after recovery of collateral. A wrongly declined good customer costs about $2,000 in forgone net interest margin and acquisition spend. Model performance in production equals test-set performance (93% of defaulters caught, 67% precision at threshold 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80 slip through (13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$0.7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550 (92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 million gross; about $8.5 million after running costs</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Re-train after the verification rule is in place; monitor the share of missing fields.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and some flags could act as proxies for protected characteristics.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Exclude occupation from the production model; disparate-impact testing before launch and annually.</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0.25 means a 25% chance of default,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333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24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164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1,267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(class-weighted Random Forest, threshold 0.25) on the held-out applicants: 93.3% of defaulters caught; 67.0% of flagged applicants were real defaulters; 89.5% of all decisions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8ab0e9855d4fcb3bffd847b6c5a7e3c9be4a90.png"/><Relationship Id="rId9" Type="http://schemas.openxmlformats.org/officeDocument/2006/relationships/image" Target="media/11056f3b9b7530ffebea82103c3c7e7456366758.png"/><Relationship Id="rId10" Type="http://schemas.openxmlformats.org/officeDocument/2006/relationships/image" Target="media/255058fa76fc9a2889302a07e74ac91de0fec201.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2026-10-25T19:06:16.268Z</dcterms:created>
  <dcterms:modified xsi:type="dcterms:W3CDTF">2026-10-25T19:06:16.269Z</dcterms:modified>
</cp:coreProperties>
</file>

<file path=docProps/custom.xml><?xml version="1.0" encoding="utf-8"?>
<Properties xmlns="http://schemas.openxmlformats.org/officeDocument/2006/custom-properties" xmlns:vt="http://schemas.openxmlformats.org/officeDocument/2006/docPropsVTypes"/>
</file>