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flags an applicant when the score is above 0.15. On 1,788 unseen applicants, it caught 92.7% of defaulters at 68.1%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receives the same 27 named columns: the 10 financial attributes, the 11 missing flags and the 6 one-hot indicators (Table 7 lists them). The logistic regression receives the financial attributes capped and standardised. The tree models receive them unchanged. Section 5 tests two smaller input sets and keeps the smallest set within one standard error of the lowest cost. No smaller set qualifies, so the final model keeps all 27.</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receives a missing-value flag for each field with gaps, which covers fact 3.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decision threshold on expected cost. This step used three different 5-fold splits of the training rows, not the forest's single 3-fold split above. This explains the small difference in its scores. On these out-of-fold predictions, the default forest caught 71.4% of defaulters at 82.5% precision with the 0.5 threshold. With the 0.15 threshold it caught 93.7% at 64.7% precision. The cost per 1,000 applicants fell from about $575,000 to about $317,000, which is 45%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both trees, but the final forest gives them less weight (10th of 27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It costs about $317,000 per 1,000 applicants, against $390,000 for the bagged trees, $550,000 for the logistic regression and $607,000 for the tuned tree. It wins because it ranks applicants best (ROC-AUC 0.96). At its own best threshold it catches more defaulters than the other techniques, and its precision is still higher. Out of fold, it catches 93.7% of defaulters at 64.7%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10%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69%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Simpler models cost more. </w:t>
      </w:r>
      <w:r>
        <w:rPr>
          <w:rFonts w:ascii="Calibri" w:cs="Calibri" w:eastAsia="Calibri" w:hAnsi="Calibri"/>
          <w:sz w:val="22"/>
          <w:szCs w:val="22"/>
        </w:rPr>
        <w:t xml:space="preserve">The pre-stated rule keeps the smallest input set within one standard error (about $10,500) of the lowest cost. The 21-input set removes the five occupation indicators and the occupation-missing flag. It costs about 10% more. The 12-input set keeps only the 10 financial attributes and the DEBTINC and VALUE missing flags. It costs about a fifth more. Both are well outside one standard error, so no smaller set qualifies and the final model keeps all 27 inputs. Occupation, loan purpose and the minor flags therefore add value at the cost-optimal operating point. Removing occupation is a policy choice with a measurable price.</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any cost ratio between 3:1 and 6:1. It moves to 0.20 at 2:1, and to 0.10 at 8:1 and 9:1. Figure 6 shows the curves at the 4.5:1 costs. The threshold also stays at 0.15 on a finer 0.01 grid. We repeated the class-weight search for fully grown trees on two other 70/30 splits. The unweighted forest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Table 7 lists the 27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keepNext/>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87.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68% vs 65%, cost $304,000 ± $28,000 vs $317,000). One test evaluation is too noisy to choose between the close configurations,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24% defaulted). It would decline about 24% (74% defaulted, 87% of all defaulters). It declines about 62 creditworthy applicants automatically and refers about 55.</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87%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96% of these applicants and catches 98% of their defaulters. On applicants with a recorded ratio, it flags 9% and catches 83% of their defaulters at 80%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7 shows the inputs that the forest relies on most. The debt-to-income ratio, its missing flag, delinquent lines and credit-history length together carry about half of its decision power. Permutation importance ranks the same four at the top.</w:t>
      </w:r>
    </w:p>
    <w:p>
      <w:pPr>
        <w:keepNext/>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5 of the 27 inputs, chosen at random (the square root of 27,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 The headline figures (92.7% recall, 68.1%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the fifteen forest configurations (Table 4) and the eight final candidates (Table 5).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68.1% precision (ROC-AUC 0.96). This agrees with the out-of-fold estimate (recall 94%, precision 65%).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21-input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83% of their defaulters at 80%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371a1dc284b918868e8fa7c37953109adcd1c91c.png"/><Relationship Id="rId13" Type="http://schemas.openxmlformats.org/officeDocument/2006/relationships/image" Target="media/a1903e965bc6c6cff9af3c6238cc3735d527e2a7.png"/><Relationship Id="rId14" Type="http://schemas.openxmlformats.org/officeDocument/2006/relationships/image" Target="media/794132d1716db6377e206e2c1807dee7fad28a7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2026-10-29T05:35:54.602Z</dcterms:created>
  <dcterms:modified xsi:type="dcterms:W3CDTF">2026-10-29T05:35:54.607Z</dcterms:modified>
</cp:coreProperties>
</file>

<file path=docProps/custom.xml><?xml version="1.0" encoding="utf-8"?>
<Properties xmlns="http://schemas.openxmlformats.org/officeDocument/2006/custom-properties" xmlns:vt="http://schemas.openxmlformats.org/officeDocument/2006/docPropsVTypes"/>
</file>