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applicants for home equity loans are likely to default. The department also asked for guidance on which applicant attributes should drive approval decisions. The project used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The project explored the data, then built and tuned linear and tree-based classifiers. It compared them on a business-driven metric. The result is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ratio was recorded. Applicants with no property valuation defaulted 94% of the time. The bank should treat income or collateral that it cannot check as a warning sign,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A 45% threshold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default least (13%). At the conventional decision threshold, removing occupation, loan purpose and nine minor flags from the forest changes its performance by about a point. At the cost-optimal threshold, removing occupation alone raises the expected cost of credit errors by about 10%. We therefore keep occupation, subject to the fair-lending review, with a 21-input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and the main drivers combine (Figure A4). The Random Forest scored 0.96 on risk-ranking quality (ROC-AUC, where 1.0 means every defaulter ranks above every repayer) against 0.91 for logistic regression. At a similar share of defaulters caught, it declined far fewer good applicants. We chose the final model's configuration (class weights, tree size, input set) and its decision threshold together, on the training rows alone. We judged them by the expected cost, in dollars, of their out-of-fold mistakes, under a rule fixed in advance. We then measured performance once on the test set.</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standard settings otherwise. Extra weight for defaulters in training made no measurable difference once we chose the decision threshold on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All 27 model inputs, in the order the pipeline produces them. First, the 10 financial attributes (LOAN, MORTDUE, VALUE, YOJ, DEROG, DELINQ, CLAGE, NINQ, CLNO, DEBTINC). Second, a 0/1 missing-value flag for each of the 11 fields with gaps (MORTDUE, VALUE, REASON, JOB, YOJ, DEROG, DELINQ, CLAGE, NINQ, CLNO, DEBTINC). Third, six 0/1 indicators from one-hot encoding: one for REASON = HomeImp and five for JOB = Office, Other, ProfExe, Sales, Self. Fallback if the fair-lending review requires it: the same forest without any occupation information. This removes the five occupation indicators and the occupation-missing flag, leaving 21 inputs. Its expected cost of credit errors is about 10% higher. We also tested a 12-input lean model (the ten attributes plus the DEBTINC and VALUE missing flags). It costs about a fifth more.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imputation for categorical gaps, both learned on the training rows. A missing-value flag for every imputed field, and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an applicant as a likely defaulter when the predicted probability is above 0.15. The threshold minimises the indicative expected cost of credit errors on repeated out-of-fold predictions of the training rows. It is unchanged for cost ratios between 3:1 and 6:1, on a finer grid and on two other train/test splits. It sits just below the textbook break-even for the stated costs ($2,000 / $11,000 = 0.18). The reason is that the forest's scores understate risk in the decision range (applicants scored 0.15 to 0.20 defaulted about 23%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It reproduces 93% of them on unseen applicants (against 73% for never flagging). It has three rules. The first two rules are a missing debt-to-income ratio and a ratio above about 44%. The third rule, at or below 44%, is a delinquent credit line together with a major derogatory report. These rules supply the adverse-action reasons that the Equal Credit Opportunity Act requires. The top risk drivers for each applicant complement them.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applicants. We then chose the final model and its threshold on the expected cost of the two errors, so the expected cost includes precision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68.1% precision, 89.9% accuracy, risk-ranking quality (ROC-AUC) 0.96. At the conventional 0.5 threshold the same model gives 68.6% recall, 84.2% precision and 91.2%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with the test set kept separate before we fitted any pre-processing statistic. Grid searches by 3- and 5-fold stratified cross-validation. We chose the final model's settings and its threshold on the expected cost of out-of-fold mistakes on the training rows. We fixed this rule in advance. The out-of-fold predictions came from three rounds of 5-fold cross-validation (15 validation folds). Robustness checks: a finer threshold grid, two other train/test splits and a calibration table. We scored the test set once for performance. We also computed permutation importance on it, for interpretation only.</w:t>
            </w:r>
          </w:p>
        </w:tc>
      </w:tr>
    </w:tbl>
    <w:p>
      <w:pPr>
        <w:spacing w:after="120"/>
      </w:pP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check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that we can check the 0.15 threshold.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verification and property-valuation verification mandatory fields, because their absence is the strongest default signal. Build the scoring pipeline with reason codes.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Complete a fair-lending review before activating the model.</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recall, precision and approval rate monthly.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loan-to-value and payment-to-income features, probability calibration and time-based validation in the next iteration.</w:t>
      </w:r>
    </w:p>
    <w:p>
      <w:pPr>
        <w:spacing w:after="140" w:line="276"/>
        <w:jc w:val="both"/>
      </w:pPr>
      <w:r>
        <w:rPr>
          <w:rFonts w:ascii="Calibri" w:cs="Calibri" w:eastAsia="Calibri" w:hAnsi="Calibri"/>
          <w:sz w:val="22"/>
          <w:szCs w:val="22"/>
        </w:rPr>
        <w:t xml:space="preserve">Per 1,000 applicants, we expect the proposed model to catch about 185 of the 200 defaulters and to miss about 15. We expect it to decline about 87 applicants who would have repaid. The cost assumptions are indicative: a missed defaulter costs about $9,000, and a wrongly declined good applicant costs about $2,000. Under these assumptions the model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The single biggest threat to that profit is the borrower who does not repay. One non-performing loan erases the interest earned on many good ones. Today an underwriter reviews each application manually and decides whether to approve it.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The department wants a model built from the bank's own data on recent applicants and in line with the Equal Credit Opportunity Act. The model must predict at application time which applicants are likely to default. At the same time, it must remain interpretable enough that the bank can give a specific, defensible reason for every rejection. Formally this is a supervised problem of binary classification on 5,960 historical loans. Each loan has 12 attributes known at application time and a target that indicates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most of the principal plus collection costs. Declining someone who would have repaid costs only the interest margin on one customer. The primary measure of success is therefore the share of future defaulters the model catches (recall). We also track precision and F1 so that the model does not simply decline everyone.</w:t>
      </w:r>
    </w:p>
    <w:p>
      <w:pPr>
        <w:spacing w:after="140" w:line="276"/>
        <w:jc w:val="both"/>
      </w:pPr>
      <w:r>
        <w:rPr>
          <w:rFonts w:ascii="Calibri" w:cs="Calibri" w:eastAsia="Calibri" w:hAnsi="Calibri"/>
          <w:b/>
          <w:bCs/>
          <w:sz w:val="22"/>
          <w:szCs w:val="22"/>
        </w:rPr>
        <w:t xml:space="preserve">We treated missing values as information, not noise. </w:t>
      </w:r>
      <w:r>
        <w:rPr>
          <w:rFonts w:ascii="Calibri" w:cs="Calibri" w:eastAsia="Calibri" w:hAnsi="Calibri"/>
          <w:sz w:val="22"/>
          <w:szCs w:val="22"/>
        </w:rPr>
        <w:t xml:space="preserve">The absence of a debt-to-income ratio or a property valuation was itself the strongest predictor of default. Therefore every imputed field received a 'was missing' flag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We compared linear and non-linear techniques head to head. </w:t>
      </w:r>
      <w:r>
        <w:rPr>
          <w:rFonts w:ascii="Calibri" w:cs="Calibri" w:eastAsia="Calibri" w:hAnsi="Calibri"/>
          <w:sz w:val="22"/>
          <w:szCs w:val="22"/>
        </w:rPr>
        <w:t xml:space="preserve">We trained logistic regression (the transparent linear benchmark), a decision tree (readable rules), bagged trees and a random forest on the same 70/30 stratified split. We tuned each model with cross-validated grid search that optimises recall and evaluated each on the test set (the held-out 30%). Moving from one tree to bagging to a forest shows what each idea contributes. Time-series techniques were not applicable because the applications carry no dates. The table below summarises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(standard settings: the proposed model at the 0.5 threshold)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spacing w:after="220"/>
        <w:jc w:val="center"/>
      </w:pPr>
      <w:r>
        <w:rPr>
          <w:rFonts w:ascii="Calibri" w:cs="Calibri" w:eastAsia="Calibri" w:hAnsi="Calibri"/>
          <w:i/>
          <w:iCs/>
          <w:color w:val="595959"/>
          <w:sz w:val="19"/>
          <w:szCs w:val="19"/>
        </w:rPr>
        <w:t xml:space="preserve">Table 1. Performance of the techniques explored on the test set (1,788 applicants), at the conventional 0.5 threshold except for the proposed model.</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test set.</w:t>
      </w:r>
    </w:p>
    <w:p>
      <w:pPr>
        <w:spacing w:after="140" w:line="276"/>
        <w:jc w:val="both"/>
      </w:pPr>
      <w:r>
        <w:rPr>
          <w:rFonts w:ascii="Calibri" w:cs="Calibri" w:eastAsia="Calibri" w:hAnsi="Calibri"/>
          <w:b/>
          <w:bCs/>
          <w:sz w:val="22"/>
          <w:szCs w:val="22"/>
        </w:rPr>
        <w:t xml:space="preserve">We chose the Random Forest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However, it declines almost one good applicant for every defaulter that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ROC-AUC rises from 0.81 to 0.95. The forests add feature sub-sampling. With class weights, the forest catches 77% at 77% precision at the 0.5 threshold. Both forests rank applicants by risk most accurately of all models (ROC-AUC 0.96). That ranking quality is what makes the next step, moving the decision threshold, possible.</w:t>
      </w:r>
    </w:p>
    <w:p>
      <w:pPr>
        <w:spacing w:after="140" w:line="276"/>
        <w:jc w:val="both"/>
      </w:pPr>
      <w:r>
        <w:rPr>
          <w:rFonts w:ascii="Calibri" w:cs="Calibri" w:eastAsia="Calibri" w:hAnsi="Calibri"/>
          <w:b/>
          <w:bCs/>
          <w:sz w:val="22"/>
          <w:szCs w:val="22"/>
        </w:rPr>
        <w:t xml:space="preserve">We chose the final model and its threshold on the training rows,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threshold. We chose them together, on the training rows alone, by one yardstick: the expected dollar cost of the model's mistakes. We estimated that cost on training applicants that the model did not see (three rounds of 5-fold cross-validation). We scored fifteen forest configurations and then five final candidates, each at its own cost-minimising threshold, under a rule that we fixed beforehand. The fifteen configurations were five weightings, each with fully grown trees or with trees limited to at least 5 or 10 applicants per leaf. Three candidates used the best configuration: on all 27 inputs, without occupation, and on a 12-input subset. The other two were the recall-tuned forest on 27 and 12 inputs. Under that rule, the lowest average cost wins. When several candidates are within the run-to-run noise of the estimate (about $10,500 per 1,000 applicants), the simplest wins. Fully grown trees beat limited trees for every weighting. Among them, the weightings made no measurable difference. The unweighted, 0.3/0.7 and 0.2/0.8 forests were within that noise of each other, at thresholds of 0.15, 0.20 and 0.25. So we chose the unweighted forest on all 27 inputs. When precision also carries a cost, the recall-tuned grid winner cost about half again as much. The forest without occupation cost about 10% more. The 12-input forest cost about a fifth more. We scored the balanced logistic regression and the recall-tuned decision tree the same way, at their own best thresholds. They cost about $550,000 and $607,000 per 1,000 applicants, against $317,000 for the forest. So the forest wins on the chosen yardstick as well as on ranking quality. The cost-minimising threshold is 0.15. It stays at 0.15 for any cost ratio between 3:1 and 6:1, on a finer grid and on two other train/test splits. It sits just below the textbook break-even of 0.18 for a perfectly calibrated score. The reason is that the forest's scores rank applicants well but understate risk in the decision range. Applicants scored 0.15 to 0.20 defaulted about 23% of the time. We scored the forest once on the test set at that threshold. It catches 93% of defaulters at 68% precision, against 69% and 84% at the conventional 0.5. The test result (cost about $304,000 ± $28,000 per 1,000 applicants) is consistent with the out-of-fold estimate ($317,000). The choice between the closely matched configurations rests on the out-of-fold comparison. A single test evaluation is too noisy to decide between them.</w:t>
      </w:r>
    </w:p>
    <w:p>
      <w:pPr>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 We measured all three on out-of-fold predictions of the training rows. The test set played no part in the choice.</w:t>
      </w:r>
    </w:p>
    <w:p>
      <w:pPr>
        <w:spacing w:after="140" w:line="276"/>
        <w:jc w:val="both"/>
      </w:pPr>
      <w:r>
        <w:rPr>
          <w:rFonts w:ascii="Calibri" w:cs="Calibri" w:eastAsia="Calibri" w:hAnsi="Calibri"/>
          <w:b/>
          <w:bCs/>
          <w:sz w:val="22"/>
          <w:szCs w:val="22"/>
        </w:rPr>
        <w:t xml:space="preserve">A surrogate decision tree that follows the forest provides interpretability. </w:t>
      </w:r>
      <w:r>
        <w:rPr>
          <w:rFonts w:ascii="Calibri" w:cs="Calibri" w:eastAsia="Calibri" w:hAnsi="Calibri"/>
          <w:sz w:val="22"/>
          <w:szCs w:val="22"/>
        </w:rPr>
        <w:t xml:space="preserve">No one can read a forest of 200 trees as a rule list. So we fitted a four-level decision tree to the forest's own decisions rather than to the original labels. Those decisions are flag or clear at the 0.15 threshold. We took them from the out-of-fold scores, so that the tree learns how the forest treats applicants that it did not see. The tree reproduces 93% of the forest's decisions on unseen applicants, against 73% for a rule that never flags anyone. Its rules are the same drivers that the analysis found throughout. First, if the debt-to-income ratio is missing, the tree flags the applicant. Second, if there is a recorded ratio above about 44%, the tree flags the applicant. Third, at or below 44%, the tree flags the applicant when there is a delinquent credit line together with a major derogatory report. Otherwise it clears the applicant. Those rules supply the adverse-action reasons. The forest's feature importances (Figure 3) and the top risk drivers for each applicant document the score itself.</w:t>
      </w:r>
    </w:p>
    <w:p>
      <w:pPr>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The twelve inputs that the final Random Forest relies on most (impurity-based importance). Four inputs together carry about half of the model's decision power. They are the debt-to-income ratio, its missing-value flag, the number of delinquent credit lines and the age of the credit history. Permutation importance ranks the same four at the top.</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The bank would decline or refer about 87 of every 1,000 applicants although they would have repaid. This is the price of catching defaulters. It is far lower than the single decision tree's 145. The bank can reduce it further by routing borderline cases to a human underwriter instead of declining them outright. Stated as rates, the model flags about 27% of all applicants. That is an approval rate of about 73% on a population that the bank approves in full today, against 84% at the conventional 0.5 threshold. The model wrongly flags about 11% of creditworthy applicants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fall in the clear-decline band. So the bank can automate both bands.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decline maps to a small set of plain-language reasons that match both the data and lending common sense. The reasons are debt burden, unverified income, delinquencies, derogatory reports and short credit history.</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 it into the existing underwriting workflow, with the probability threshold of 0.15 as the initial setting. Use a three-band outcome. Approve when the predicted default probability is below about 0.10. Refer applications from 0.10 to 0.25 to an underwriter. Decline applications above 0.25. On the test set, these bands hold about 69%, 7% and 24% of applications, with observed default rates of about 1%, 24% and 74%. So the bands keep a human in the loop exactly where the model is least certain, without a large manual workload. The edges are round numbers around the threshold. We set them before we examined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The bank must then re-train the model on the verified population before go-live. On applicants with a recorded ratio, the model already catches 83% of defaulters at 80% precision while flagging only 9%.</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Refer applications with two or more delinquent credit lines or two or more major derogatory reports to an underwriter. The observed default rates of these two groups are 45% and 51% and above. These are escalation rules that we read directly from the observed default rates. The bank applies them before the score. They are transparent and easy to communicate, and they use the same drivers as the model. The model applies the drivers more finely: its surrogate flags a delinquent line together with a derogatory report at any recorded ratio. Where a hard rule and the score disagree, the rule takes precedence.</w:t>
      </w:r>
    </w:p>
    <w:p>
      <w:pPr>
        <w:pStyle w:val="ListParagraph"/>
        <w:numPr>
          <w:ilvl w:val="0"/>
          <w:numId w:val="3"/>
        </w:numPr>
        <w:spacing w:after="100" w:line="264"/>
      </w:pPr>
      <w:r>
        <w:rPr>
          <w:rFonts w:ascii="Calibri" w:cs="Calibri" w:eastAsia="Calibri" w:hAnsi="Calibri"/>
          <w:b/>
          <w:bCs/>
          <w:sz w:val="22"/>
          <w:szCs w:val="22"/>
        </w:rPr>
        <w:t xml:space="preserve">Use the surrogate decision tree for adverse-action reasons. </w:t>
      </w:r>
      <w:r>
        <w:rPr>
          <w:rFonts w:ascii="Calibri" w:cs="Calibri" w:eastAsia="Calibri" w:hAnsi="Calibri"/>
          <w:sz w:val="22"/>
          <w:szCs w:val="22"/>
        </w:rPr>
        <w:t xml:space="preserve">Generate the reason codes for every decline from two sources. The first is the surrogate tree's rules, which reproduce 93% of the forest's flag decisions at the 0.15 threshold. The second is the applicant's top risk drivers from the forest. Store the reason codes with the application record for audit and for responses to applicants and regulators. Because declines above 0.25 are automatic, the forest's own top risk drivers are the primary reason for those. For those declines, the surrogate rule is the plain-language summary. A referral that ends in a decline carries the underwriter's reason.</w:t>
      </w:r>
    </w:p>
    <w:p>
      <w:pPr>
        <w:pStyle w:val="ListParagraph"/>
        <w:numPr>
          <w:ilvl w:val="0"/>
          <w:numId w:val="3"/>
        </w:numPr>
        <w:spacing w:after="100" w:line="264"/>
      </w:pPr>
      <w:r>
        <w:rPr>
          <w:rFonts w:ascii="Calibri" w:cs="Calibri" w:eastAsia="Calibri" w:hAnsi="Calibri"/>
          <w:b/>
          <w:bCs/>
          <w:sz w:val="22"/>
          <w:szCs w:val="22"/>
        </w:rPr>
        <w:t xml:space="preserve">Check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Then re-derive the threshold on out-of-fold predictions before go-live. The analysis shows that the optimum stays at 0.15 for any cost ratio between 3:1 and 6:1. It would move to 0.20 if the ratio were nearer 2:1.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go-live. </w:t>
      </w:r>
      <w:r>
        <w:rPr>
          <w:rFonts w:ascii="Calibri" w:cs="Calibri" w:eastAsia="Calibri" w:hAnsi="Calibri"/>
          <w:sz w:val="22"/>
          <w:szCs w:val="22"/>
        </w:rPr>
        <w:t xml:space="preserve">Score every application alongside the manual decision for one to two months. Include applications that the current process declines. The training data contains only approved loans. Compare outcomes. Test approval and error rates across protected groups. If the review requires the bank to remove occupation, switch to the 21-input fallback model without occupation. Its expected credit-error cost is about 10% higher.</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recall, precision, approval rate and the share of applications with missing fields monthly. The expected approval rate is about 73% on today's approved population at the 0.15 threshold. Under the bands, the bank approves about 69% automatically, refers about 7% and declines about 24%.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that the threshold represents. Approve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Supply actual loss-given-default and margin figures to check the threshold. Check the cost-benefit case. Define the monitoring limits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to read reason codes and to handle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Build the scoring pipeline (imputation, missing flags, model, threshold, reason codes). Integrate it with the loan-origination system. Build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Review adverse-action reason codes against ECOA requirements. Run the disparate-impact analysis.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Report monthly performance.</w:t>
            </w:r>
          </w:p>
        </w:tc>
      </w:tr>
    </w:tbl>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below are indicative and rest on the stated assumptions. Their purpose is to size the opportunity. The bank should refine them with its own numbers.</w:t>
      </w:r>
    </w:p>
    <w:p>
      <w:pPr>
        <w:spacing w:after="140" w:line="276"/>
        <w:jc w:val="both"/>
      </w:pPr>
      <w:r>
        <w:rPr>
          <w:rFonts w:ascii="Calibri" w:cs="Calibri" w:eastAsia="Calibri" w:hAnsi="Calibri"/>
          <w:b/>
          <w:bCs/>
          <w:sz w:val="22"/>
          <w:szCs w:val="22"/>
        </w:rPr>
        <w:t xml:space="preserve">Assumptions. </w:t>
      </w:r>
      <w:r>
        <w:rPr>
          <w:rFonts w:ascii="Calibri" w:cs="Calibri" w:eastAsia="Calibri" w:hAnsi="Calibri"/>
          <w:sz w:val="22"/>
          <w:szCs w:val="22"/>
        </w:rPr>
        <w:t xml:space="preserve">The application volume is 6,000 per year (the size of the dataset). Defaulted loans averaged $16,900 in the data. With about half recovered through the collateral, a missed defaulter costs about $9,000. A wrongly declined good applicant costs about $2,000 in forgone net interest margin and acquisition spend. Illustratively, that figure combines two parts. One is a net margin of about three percentage points on a $16,000 to $17,000 balance over three to four years. The other is the cost of acquiring a replacement customer. Finance should replace both figures. If the true ratio were nearer 2:1, the cost-minimising threshold would move to 0.20. At 0.20, the out-of-fold data shows about 90% recall and 83 good applicants declined per 1,000. We assume that model performance in production equals test-set performance (93% of defaulters caught, 68% precision at threshold 0.15). This assumption applies to an applicant population like the one that the current process approves. So the benefit is an additional screen on applicants that the current process approves. The outcomes of applicants that the manual process declines today are unknown until the shadow period. It is also a before-verification estimate. Two thirds of defaulters sit in the fifth of applicants with no recorded debt-to-income ratio. The model flags that group almost entirely (96%), and mandatory verification will shrink it. On applicants with a recorded ratio, the model catches 83% of defaulters at 80% precision while flagging 9%. That is the better guide to its behaviour once verification is in place and the bank re-trains the model. All figures are for the single 0.15 threshold. The approve / refer / decline bands are the operating procedure around it. Whatever underwriters approve inside the referral band trades some of the modelled benefit for a human check. The referral band holds about 7% of applications, and one in four of them defaulted. Under the bands, the share of defaulters caught lies between about 87% (if underwriters approved every referral) and 96% (if they declined every referral). The single-threshold figure is 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missed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applicants declined or referred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520 (87 per 1,000), margin forgone about $1.0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$9.0 million gross, about $8.9 million after running costs, and about $8.5 million in the first year after the one-off implementation cost</w:t>
            </w:r>
          </w:p>
        </w:tc>
      </w:tr>
    </w:tbl>
    <w:p>
      <w:pPr>
        <w:spacing w:after="220"/>
        <w:jc w:val="center"/>
      </w:pPr>
      <w:r>
        <w:rPr>
          <w:rFonts w:ascii="Calibri" w:cs="Calibri" w:eastAsia="Calibri" w:hAnsi="Calibri"/>
          <w:i/>
          <w:iCs/>
          <w:color w:val="595959"/>
          <w:sz w:val="19"/>
          <w:szCs w:val="19"/>
        </w:rPr>
        <w:t xml:space="preserve">Table 2.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The one-off implementation costs roughly $300,000 to $400,000 (data pipeline and integration, validation, fairness review, documentation and training). Running costs are roughly $100,000 per year (monitoring, re-training, model-risk reviews). Even if the realised benefit were only a quarter of the indicative figure, the solution would recover its cost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The non-financial benefits are faster decisions for clear cases, consistent treatment of applicants, and documented and auditable reasons for every decline. Another benefit is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that the bank approved. Applicants declined under the old process are absent, so the model did not see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Run a shadow period on all applications. Use reject inference in the next iteration. Keep a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Re-train on the verified population before go-live. Monitor the share of missing fields. On applicants with a recorded ratio, the model already catches 83% of defaulters at 80%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Monitor the default rate and score distribution monthly. Re-train yearly. Review the threshold.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The lower threshold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Test approval and error rates for disparate impact before go-live, annually and whenever the threshold or bands move. Switch to the 21-input fallback (no occupation information, about 10%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a decision-tree explanation layer, reason codes for each applicant, and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input validation rules at capture. Use range checks in the scoring pipeline.</w:t>
            </w:r>
          </w:p>
        </w:tc>
      </w:tr>
    </w:tbl>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applicants declined under the manual process so the model reflects the whole applicant population.</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loan-to-value ratio ((LOAN + MORTDUE) / VALUE) and payment-to-income measures, which the trees currently approximate.</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Calibrate predicted probabilities so that a score of 0.15 means exactly a 15% chance of default. This simplifies threshold setting and pricing. The unweighted forest's scores rank applicants well but understate risk in the decision range: applicants scored 0.15 to 0.20 defaulted about 23% of the time.</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check the model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This replaces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Per-applicant explanations: </w:t>
      </w:r>
      <w:r>
        <w:rPr>
          <w:rFonts w:ascii="Calibri" w:cs="Calibri" w:eastAsia="Calibri" w:hAnsi="Calibri"/>
          <w:sz w:val="22"/>
          <w:szCs w:val="22"/>
        </w:rPr>
        <w:t xml:space="preserve">add SHAP-style reason codes so each decision lists the attributes that moved the score most, in applicant-friendly language.</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p>
      <w:pPr>
        <w:spacing w:after="60" w:before="120"/>
        <w:jc w:val="center"/>
      </w:pPr>
      <w:r>
        <w:drawing>
          <wp:inline distT="0" distB="0" distL="0" distR="0">
            <wp:extent cx="6038850" cy="25908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25908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A4. Default rate for pairs of variables. At a debt-to-income ratio of 45% or less, two or more delinquent lines raise the default rate from 3-9% to 25-30%. Loan purpose changes the risk within some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test-set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A1. Decisions of the proposed model (Random Forest, threshold 0.15) on the test set. The model caught 92.7% of defaulters. Of the flagged applicants, 68.1% were real defaulters. Of all decisions, 89.9% were correct.</w:t>
      </w:r>
    </w:p>
    <w:p>
      <w:pPr>
        <w:spacing w:after="140" w:line="276"/>
        <w:jc w:val="both"/>
      </w:pPr>
      <w:r>
        <w:rPr>
          <w:rFonts w:ascii="Calibri" w:cs="Calibri" w:eastAsia="Calibri" w:hAnsi="Calibri"/>
          <w:sz w:val="22"/>
          <w:szCs w:val="22"/>
        </w:rPr>
        <w:t xml:space="preserve">The complete analysis, including all exploratory charts, model code, cross-validation results and the full decision-tree rules, is in the accompanying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99d5d117d3ee3cf21819ae0a5b6e581f506cc8f.png"/><Relationship Id="rId9" Type="http://schemas.openxmlformats.org/officeDocument/2006/relationships/image" Target="media/55bcf89b9bf51829c991f11112f9962525bdda3d.png"/><Relationship Id="rId10" Type="http://schemas.openxmlformats.org/officeDocument/2006/relationships/image" Target="media/2859bd45241af0be06825993a923bd124e1f6004.png"/><Relationship Id="rId11" Type="http://schemas.openxmlformats.org/officeDocument/2006/relationships/image" Target="media/ce0f309bacf5276e7c6539e5ba2e7620084fbd5c.png"/><Relationship Id="rId12" Type="http://schemas.openxmlformats.org/officeDocument/2006/relationships/image" Target="media/6e84cff58be6b4fed705ae7a46f9551417642c4f.png"/><Relationship Id="rId13" Type="http://schemas.openxmlformats.org/officeDocument/2006/relationships/image" Target="media/a30d2151907577916ee74daef8311d7cf9b378ae.png"/><Relationship Id="rId14" Type="http://schemas.openxmlformats.org/officeDocument/2006/relationships/image" Target="media/73e92a62130c00290ab0ea6a4994004d3021f9a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2026-10-26T02:53:46.746Z</dcterms:created>
  <dcterms:modified xsi:type="dcterms:W3CDTF">2026-10-26T02:53:46.746Z</dcterms:modified>
</cp:coreProperties>
</file>

<file path=docProps/custom.xml><?xml version="1.0" encoding="utf-8"?>
<Properties xmlns="http://schemas.openxmlformats.org/officeDocument/2006/custom-properties" xmlns:vt="http://schemas.openxmlformats.org/officeDocument/2006/docPropsVTypes"/>
</file>