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  |  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bank recovered about half through the collateral, so it lost roughly $10 million on this book alone. Every ten defaulters avoided saves about $90,000 (at the $9,000 per defaulter used throughout).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numPr>
          <w:ilvl w:val="0"/>
          <w:numId w:val="2"/>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numPr>
          <w:ilvl w:val="0"/>
          <w:numId w:val="2"/>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numPr>
          <w:ilvl w:val="0"/>
          <w:numId w:val="2"/>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numPr>
          <w:ilvl w:val="0"/>
          <w:numId w:val="2"/>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numPr>
          <w:ilvl w:val="0"/>
          <w:numId w:val="3"/>
        </w:numPr>
        <w:spacing w:after="100" w:line="264"/>
      </w:pPr>
      <w:r>
        <w:rPr>
          <w:rFonts w:ascii="Calibri" w:cs="Calibri" w:eastAsia="Calibri" w:hAnsi="Calibri"/>
          <w:sz w:val="22"/>
          <w:szCs w:val="22"/>
        </w:rPr>
        <w:t xml:space="preserve">What share of past applicants defaulted, and how imbalanced is the problem?</w:t>
      </w:r>
    </w:p>
    <w:p>
      <w:pPr>
        <w:pStyle w:val="ListParagraph"/>
        <w:numPr>
          <w:ilvl w:val="0"/>
          <w:numId w:val="3"/>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numPr>
          <w:ilvl w:val="0"/>
          <w:numId w:val="3"/>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numPr>
          <w:ilvl w:val="0"/>
          <w:numId w:val="3"/>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numPr>
          <w:ilvl w:val="0"/>
          <w:numId w:val="3"/>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numPr>
          <w:ilvl w:val="0"/>
          <w:numId w:val="3"/>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dataset records twelve inputs for each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spacing w:after="220"/>
        <w:jc w:val="center"/>
      </w:pPr>
      <w:r>
        <w:rPr>
          <w:rFonts w:ascii="Calibri" w:cs="Calibri" w:eastAsia="Calibri" w:hAnsi="Calibri"/>
          <w:i/>
          <w:iCs/>
          <w:color w:val="595959"/>
          <w:sz w:val="19"/>
          <w:szCs w:val="19"/>
        </w:rPr>
        <w:t xml:space="preserve">Table 1. The twelve applicant attributes and their missing-value rates.</w:t>
      </w:r>
    </w:p>
    <w:p>
      <w:pPr>
        <w:spacing w:after="140" w:line="276"/>
        <w:jc w:val="both"/>
      </w:pP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and are right-skewed, as are property values and mortgage balances. The debt-to-income ratio is tightly concentrated between 29% and 39% for the middle half of applicants but contains impossible values (a maximum of 203%). The age of the oldest credit line has an implausible maximum of 97 years. Three quarters of applicants have no derogatory report and no delinquent credit line.</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Default rate when an attribute is missing versus present.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about 45-50% with five or more (Figure 3). Each of these is a plain-language reason that the bank can give an applicant.</w:t>
      </w:r>
    </w:p>
    <w:p>
      <w:pPr>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Sales (35%) and self-employed (30%) applicants default most. Office workers (13%) and professionals (17%) default least.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4"/>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4"/>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4"/>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continuous variables at the inter-quartile whiskers computed on the training rows. This removes the impossible debt-to-income and credit-age values. For the same model, we also capped the two count variables at their 99th percentile, because their inter-quartile range is zero. Tree models use the untouched values, since they split on rank order and would otherwise lose information such as 'above 50% always defaults'.</w:t>
      </w:r>
    </w:p>
    <w:p>
      <w:pPr>
        <w:pStyle w:val="ListParagraph"/>
        <w:numPr>
          <w:ilvl w:val="0"/>
          <w:numId w:val="4"/>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4"/>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most of the principal plus collection costs. Defaulted loans averaged $16,900 and the bank recovered about half through collateral, so a missed defaulter costs roughly $9,000. Declining an applicant who would have repaid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each individual model by cross-validated grid search that optimises recall. We then chose the final model's configuration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800"/>
        <w:gridCol w:w="34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With its threshold moved to 0.15 this is the proposed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All techniques agree on the following points. The main drivers are the debt-to-income ratio and whether it was recorded, the number of delinquent credit lines and derogatory reports, and the credit-history length.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The class-weighted forest reaches 77% recall at 77% precision with a ROC-AUC of 0.96, the best balance.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 surrogate tree and per-applicant reason codes explain it.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and it is perceived as a black box. It needs model-risk documentation and drift monitoring.</w:t>
            </w:r>
          </w:p>
        </w:tc>
      </w:tr>
    </w:tbl>
    <w:p>
      <w:pPr>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loan-to-value ratio and a payment-to-income measure, which would also help the linear model. We also expect gains from gradient boosting, probability calibration and reject inference. Reject inference matters because the data only covers loans the bank approved, so the models never saw the applicants the old process declined.</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We scored every candidate with out-of-fold predictions from repeated 5-fold cross-validation on the training rows (three different splits, 15 validation folds). We judged each candidate at its own cost-minimising threshold. The test set played no part in the choice. Stage 1 searched the forest's class weights and minimum leaf size on all 27 inputs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in the notebook. It understates risk in the decision range, as we discuss below. Stage 2 pitted it against the recall-tuned grid winner, each on all 27 inputs and on the 12-input subset. The same stage also tested it without any occupation information, the fallback a fair-lending review might require. We scored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21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$378,000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spacing w:after="220"/>
        <w:jc w:val="center"/>
      </w:pPr>
      <w:r>
        <w:rPr>
          <w:rFonts w:ascii="Calibri" w:cs="Calibri" w:eastAsia="Calibri" w:hAnsi="Calibri"/>
          <w:i/>
          <w:iCs/>
          <w:color w:val="595959"/>
          <w:sz w:val="19"/>
          <w:szCs w:val="19"/>
        </w:rPr>
        <w:t xml:space="preserve">Table 5. Stage 2 of the selection: final candidates on repeated out-of-fold predictions of the training rows (mean of three 5-fold splits). Same cost assumptions as Table 4.</w:t>
      </w:r>
    </w:p>
    <w:p>
      <w:pPr>
        <w:spacing w:after="140" w:line="276"/>
        <w:jc w:val="both"/>
      </w:pPr>
      <w:r>
        <w:rPr>
          <w:rFonts w:ascii="Calibri" w:cs="Calibri" w:eastAsia="Calibri" w:hAnsi="Calibri"/>
          <w:sz w:val="22"/>
          <w:szCs w:val="22"/>
        </w:rPr>
        <w:t xml:space="preserve">The unweighted forest on all 27 inputs has the lowest expected cost. The recall-tuned grid winner costs about half again as much once precision has a price. This shows that recall-only tuning over-shoots. The balanced logistic regression and the tuned tree cost about $550,000 and $607,000 per 1,000 even at their own best thresholds. So the forest wins on the chosen yardstick as well as on ranking quality. Removing all occupation information costs about 10% more, and the 12-input version costs about a fifth more. Both are well outside one standard error. So occupation, loan purpose and the minor flags do add value at the cost-optimal operating point, and we choose neither simpler model. Removing occupation is therefore a policy choice with a measurable price. The cost-minimising threshold is 0.15 (flag every applicant whose score exceeds 0.15, an estimated default risk of roughly one in five). It stays at 0.15 for any cost ratio between 3:1 and 6:1 (see the notebook's cost-ratio table). Figure 6 shows the curves at the 4.5:1 costs. It also stays there on a finer 0.01 grid, and when we repeat the whole configuration search on two other 70/30 splits. It sits just below the textbook break-even of 0.18 for a perfectly calibrated score, because the forest's scores understate risk in the decision range. The scores still rank applicants well (Brier score 0.062 against 0.160 for the base rate). Applicants scored 0.15 to 0.20 defaulted about 23% of the time, so a score of 0.15 reads as roughly one-in-five estimated risk. We write the final pipeline step by step in the notebook, with the exact 27 input columns, the training-row imputation values and the model settings. This makes every input to the scoring model explicit.</w:t>
      </w:r>
    </w:p>
    <w:p>
      <w:pPr>
        <w:spacing w:after="60" w:before="120"/>
        <w:jc w:val="center"/>
      </w:pPr>
      <w:r>
        <w:drawing>
          <wp:inline distT="0" distB="0" distL="0" distR="0">
            <wp:extent cx="5848350" cy="2476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6. Recall, precision and indicative expected cost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6. Decisions of the proposed model at the 0.15 threshold: 92.7% of defaulters caught, 68.1% precision, 89.9% accuracy, ROC-AUC 0.96. At the conventional 0.5 threshold the same model gives 68.6% recall and 84.2% precision.</w:t>
      </w:r>
    </w:p>
    <w:p>
      <w:pPr>
        <w:spacing w:after="140" w:line="276"/>
        <w:jc w:val="both"/>
      </w:pPr>
      <w:r>
        <w:rPr>
          <w:rFonts w:ascii="Calibri" w:cs="Calibri" w:eastAsia="Calibri" w:hAnsi="Calibri"/>
          <w:sz w:val="22"/>
          <w:szCs w:val="22"/>
        </w:rPr>
        <w:t xml:space="preserve">Per 1,000 applicants the model flags about 185 of 200 defaulters before the money leaves the bank. It misses about 15 and declines or refers about 87 applicants who would have repaid. Under the indicative costs this cuts default-related cost from roughly $1.8 million per 1,000 applicants (today: all approved, 20% default) to about $0.3 million. That is a reduction of about 83%. Out-of-fold and test results are consistent (recall 93% vs 94%, precision 68% vs 65%, cost $304,000 ± $28,000 vs $317,000 per 1,000). The choice between the closely matched configurations rests on the out-of-fold comparison. A single test evaluation is too noisy to adjudicate that choice. Overall the model flags about 27% of applicants, an approval rate of about 73% on a population the bank approves in full today. At the 0.5 threshold it flags 16%. The model wrongly flags about 11% of creditworthy applicants at 0.15 against 3% at 0.5, which is the price of the recall. The approve / refer / decline bands at 0.10 and 0.25 would approve about 69% of applications automatically (about 1% of them defaulted). They would send about 7% to an underwriter (about one in four defaulted). They would decline about 24% (74% defaulted, 87% of all defaulters). Two thirds of all defaulters sit in the fifth of applicants with no recorded debt-to-income ratio, a group the model flags almost entirely (96%). On applicants with a recorded ratio it flags 9% and catches 83% of their defaulters at 80% precision. This is the better guide to its behaviour once income verification is mandatory and we re-train the model.</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the tree flags the applicant if there is a delinquent credit line together with a major derogatory report. Otherwise the tree clears the applicant. For each applicant the production system should also report the top risk drivers from the forest itself. Then the roughly 7% of decisions the surrogate does not reproduce still carry a specific reason. Automatic declines above the 0.25 band edge take their primary reason from those drivers, with the surrogate rule as the plain-language summary. Figure 7 shows what the forest relies on. The debt-to-income ratio, its missing flag, delinquent lines and credit-history length together carry about half of its decision power. Permutation importance ranks the same four at the top.</w:t>
      </w:r>
    </w:p>
    <w:p>
      <w:pPr>
        <w:spacing w:after="60" w:before="120"/>
        <w:jc w:val="center"/>
      </w:pPr>
      <w:r>
        <w:drawing>
          <wp:inline distT="0" distB="0" distL="0" distR="0">
            <wp:extent cx="5391150" cy="27336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7.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The configuration search showed that class weights make no measurable difference once we choose the threshold on cost. The 27 inputs are of three kinds. The 10 financial attributes (LOAN, MORTDUE, VALUE, YOJ, DEROG, DELINQ, CLAGE, NINQ, CLNO, DEBTINC). A 0/1 missing-value flag for each of the 11 fields with gaps (MORTDUE, VALUE, REASON, JOB, YOJ, DEROG, DELINQ, CLAGE, NINQ, CLNO, DEBTINC). Six 0/1 indicators from one-hot encoding (REASON = HomeImp, and JOB = Office, Other, ProfExe, Sales, Self). Median/mode imputation learned on training rows, plus a missing flag per field.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3:1 to 6:1. It is just below the textbook break-even of 0.18, as expected for a score that understates risk, and unchanged on two other train/test splits. We will re-derive it with the bank's own loss and margin figures. Approve / refer / decline bands at 0.10 and 0.25 keep an underwriter in the loop around the threshold. On the test set the bands hold about 69% / 7% / 24% of applicants, with default rates of about 1% / 24% / 74%.</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(93% agreement with the forest on unseen applicants), gives adverse-action reasons. The explanation layer also reports the top risk drivers for each applicant.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without any occupation information (21 inputs), if the fair-lending review requires it (about 10% more expected credit-error cost). The 12-input lean model costs about a fifth more, and we do not recommend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Hard rules take precedence over the score.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lowest expected cost of credit errors among fifteen configurations and five final candidates. We chose it under a pre-stated rule without the test set. We then measured it once on the test set (93% recall, 68% precision, consistent with the out-of-fold estimate). It is stable: hundreds of averaged trees, out-of-fold and test agree, and the threshold is insensitive to cost assumptions. It is interpretable through the surrogate tree and reason codes. It is deployable on fields the underwriting process already captures.</w:t>
            </w:r>
          </w:p>
        </w:tc>
      </w:tr>
    </w:tbl>
    <w:p>
      <w:pPr>
        <w:spacing w:after="120"/>
      </w:pP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We plan a shadow period on all applications and reject inference.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e0f309bacf5276e7c6539e5ba2e7620084fbd5c.png"/><Relationship Id="rId9" Type="http://schemas.openxmlformats.org/officeDocument/2006/relationships/image" Target="media/6e84cff58be6b4fed705ae7a46f9551417642c4f.png"/><Relationship Id="rId10" Type="http://schemas.openxmlformats.org/officeDocument/2006/relationships/image" Target="media/a30d2151907577916ee74daef8311d7cf9b378ae.png"/><Relationship Id="rId11" Type="http://schemas.openxmlformats.org/officeDocument/2006/relationships/image" Target="media/73e92a62130c00290ab0ea6a4994004d3021f9a8.png"/><Relationship Id="rId12" Type="http://schemas.openxmlformats.org/officeDocument/2006/relationships/image" Target="media/a99d5d117d3ee3cf21819ae0a5b6e581f506cc8f.png"/><Relationship Id="rId13" Type="http://schemas.openxmlformats.org/officeDocument/2006/relationships/image" Target="media/55bcf89b9bf51829c991f11112f9962525bdda3d.png"/><Relationship Id="rId14" Type="http://schemas.openxmlformats.org/officeDocument/2006/relationships/image" Target="media/2859bd45241af0be06825993a923bd124e1f600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2026-10-26T02:54:36.040Z</dcterms:created>
  <dcterms:modified xsi:type="dcterms:W3CDTF">2026-10-26T02:54:36.040Z</dcterms:modified>
</cp:coreProperties>
</file>

<file path=docProps/custom.xml><?xml version="1.0" encoding="utf-8"?>
<Properties xmlns="http://schemas.openxmlformats.org/officeDocument/2006/custom-properties" xmlns:vt="http://schemas.openxmlformats.org/officeDocument/2006/docPropsVTypes"/>
</file>