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bank recovered about half through the collateral, so it lost roughly $10 million on this book alone. Every ten defaulters avoided saves about $90,000 (at the $9,000 per defaulter used throughout).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dataset records twelve inputs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and are right-skewed, as are property values and mortgage balances. The debt-to-income ratio is tightly concentrated between 29% and 39% for the middle half of applicants but contains impossible values (a maximum of 203%).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about 45-50% with five or more (Figure 3). Each of these is a plain-language reason that the bank can give an applicant.</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Sales (35%) and self-employed (30%) applicants default most. Office workers (13%) and professionals (17%) default least.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continuous variables at the inter-quartile whiskers computed on the training rows. This removes the impossible debt-to-income and credit-age values. For the same model, we also capped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Defaulted loans averaged $16,900 and the bank recovered about half through collateral, so a missed defaulter costs roughly $9,000. Declining an applicant who would have repaid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each individual model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on the following points.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 surrogate tree and per-applicant reason codes explain it.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and it is perceived as a black box. It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loan-to-value ratio and a payment-to-income measure, which would also help the linear model. We also expect gains from gradient boosting, probability calibration and reject inference. Reject inference matters because the data only covers loans the bank approved, so the models never saw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in the notebook.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 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 The cost-minimising threshold is 0.15 (flag every applicant whose score exceeds 0.15, an estimated default risk of roughly one in five). It stays at 0.15 for any cost ratio between 3:1 and 6:1 (see the notebook's cost-ratio table). Figure 6 shows the curves at the 4.5:1 costs. It also stays there on a finer 0.01 grid, and when we repeat the whole configuration search on two other 70/30 splits. It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We write the final pipeline step by step in the notebook, with the exact 27 input columns, the training-row imputation values and the model settings. This makes every input to the scoring model explicit.</w:t>
      </w:r>
    </w:p>
    <w:p>
      <w:pPr>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It misses about 15 and declines or refers about 87 applicants who would have repaid. Under the indicative costs this cuts default-related cost from roughly $1.8 million per 1,000 applicants (today: all approved, 20% default) to about $0.3 million. That is a reduction of about 83%. Out-of-fold and test results are consistent (recall 93% vs 94%, precision 68% vs 65%, cost $304,000 ± $28,000 vs $317,000 per 1,000). The choice between the closely matched configurations rests on the out-of-fold comparison. A single test evaluation is too noisy to adjudicate that choice. Overall the model flags about 27% of applicants, an approval rate of about 73% on a population the bank approves in full today. At the 0.5 threshold it flags 16%. The model wrongly flags about 11% of creditworthy applicants at 0.15 against 3% at 0.5, which is the price of the recall. The approve / refer / decline bands at 0.10 and 0.25 would approve about 69% of applications automatically (about 1% of them defaulted). They would send about 7% to an underwriter (about one in four defaulted). They would decline about 24% (74% defaulted, 87% of all defaulters). Two thirds of all defaulters sit in the fifth of applicants with no recorded debt-to-income ratio, a group the model flags almost entirely (96%). On applicants with a recorded ratio it flags 9% and catches 83% of their defaulters at 80% precision. This is the better guide to its behaviour once income verification is mandatory and we re-train the model.</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 For each applicant the production system should also report the top risk drivers from the forest itself. Then the roughly 7% of decisions the surrogate does not reproduce still carry a specific reason. Automatic declines above the 0.25 band edge take their primary reason from those drivers, with the surrogate rule as the plain-language summary. Figure 7 shows what the forest relies on. The debt-to-income ratio, its missing flag, delinquent lines and credit-history length together carry about half of its decision power. Permutation importance ranks the same four at the top.</w:t>
      </w:r>
    </w:p>
    <w:p>
      <w:pPr>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make no measurable difference once we choose the threshold on cost.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(93% agreement with the forest on unseen applicants), gives adverse-action reasons. The explanation layer also reports the top risk drivers for each applicant.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Hard rules take precedence over the score.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fifteen configurations and five final candidates.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reason codes. It is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We plan a shadow period on all applications and reject inference.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73e92a62130c00290ab0ea6a4994004d3021f9a8.png"/><Relationship Id="rId12" Type="http://schemas.openxmlformats.org/officeDocument/2006/relationships/image" Target="media/a99d5d117d3ee3cf21819ae0a5b6e581f506cc8f.png"/><Relationship Id="rId13" Type="http://schemas.openxmlformats.org/officeDocument/2006/relationships/image" Target="media/a1903e965bc6c6cff9af3c6238cc3735d527e2a7.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2026-10-26T03:18:56.834Z</dcterms:created>
  <dcterms:modified xsi:type="dcterms:W3CDTF">2026-10-26T03:18:56.834Z</dcterms:modified>
</cp:coreProperties>
</file>

<file path=docProps/custom.xml><?xml version="1.0" encoding="utf-8"?>
<Properties xmlns="http://schemas.openxmlformats.org/officeDocument/2006/custom-properties" xmlns:vt="http://schemas.openxmlformats.org/officeDocument/2006/docPropsVTypes"/>
</file>