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its inputs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on 22 inputs flags an applicant when the score is above 0.15. On 1,788 unseen applicants, it caught 92.7% of defaulters at 67.4%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its inputs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2057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62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Model inputs. </w:t>
      </w:r>
      <w:r>
        <w:rPr>
          <w:rFonts w:ascii="Calibri" w:cs="Calibri" w:eastAsia="Calibri" w:hAnsi="Calibri"/>
          <w:sz w:val="22"/>
          <w:szCs w:val="22"/>
        </w:rPr>
        <w:t xml:space="preserve">Every model starts from the same 27 named columns: the 10 financial attributes, the 11 missing flags and the 6 one-hot indicators. The logistic regression receives the financial attributes capped and standardised. The tree models receive them unchanged. For the final forest, Section 5 removes the weakest inputs one at a time. It keeps the smallest set within one standard error of the lowest cost. This set has 22 inputs. The five removed inputs are the missing flags of MORTDUE, DELINQ, CLAGE, NINQ and CLNO (Table 7 lists the 22 inputs).</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its inputs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starts from a missing-value flag for each field with gaps, which covers fact 3. The final forest keeps six of these flags (Section 5).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On 22 inputs and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input set and decision threshold on expected cost. This step used three different 5-fold splits of the training rows, not the forest's single 3-fold split above. The different splits and the smaller input set explain the small difference in its scores. On these out-of-fold predictions, the final forest on 22 inputs caught 71.0% of defaulters at 82.7% precision with the 0.5 threshold. With the 0.15 threshold it caught 93.7% at 63.9% precision. The cost per 1,000 applicants fell from about $580,000 to about $324,000, which is 44%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the pruned tree, but the final forest gives them less weight (10th of 22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On its 22 selected inputs it costs about $324,000 per 1,000 applicants. The bagged trees cost $390,000, the logistic regression $550,000 and the tuned tree $607,000. It wins because it ranks applicants best (ROC-AUC 0.96). At its own best threshold it catches more defaulters than the other techniques, and its precision is still higher. Out of fold, it catches 93.7% of defaulters at 63.9%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13%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68%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its inputs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The selection had three stages. Stage 1 searched the forest's class weights and minimum leaf size on all 27 inputs (Table 4). Stage 2 chose the number of inputs for the winning configuration. Stage 3 compared the result with the other forests and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w:t>
      </w:r>
    </w:p>
    <w:p>
      <w:pPr>
        <w:spacing w:after="140" w:line="276"/>
        <w:jc w:val="both"/>
      </w:pPr>
      <w:r>
        <w:rPr>
          <w:rFonts w:ascii="Calibri" w:cs="Calibri" w:eastAsia="Calibri" w:hAnsi="Calibri"/>
          <w:b/>
          <w:bCs/>
          <w:sz w:val="22"/>
          <w:szCs w:val="22"/>
        </w:rPr>
        <w:t xml:space="preserve">Stage 2 chose the input set. </w:t>
      </w:r>
      <w:r>
        <w:rPr>
          <w:rFonts w:ascii="Calibri" w:cs="Calibri" w:eastAsia="Calibri" w:hAnsi="Calibri"/>
          <w:sz w:val="22"/>
          <w:szCs w:val="22"/>
        </w:rPr>
        <w:t xml:space="preserve">This is the counterpart of choosing how many principal components to keep. We ranked the inputs by the chosen forest's importance and removed them one at a time, the weakest first. We removed the six occupation columns and the two loan-purpose columns as groups, so that we never removed only part of a category. We scored each smaller set on the same 15 folds with three forest seeds. One forest's own randomness moves the cost by about one standard error. The pre-stated rule keeps the smallest input set whose seed-averaged cost is within one standard error (about $9,700) of the lowest cost on the curve. Figure 6 shows the curve. It stays flat from 27 down to 22 inputs, between about $318,000 and $325,000 per 1,000 applicants. The first five inputs removed are the missing flags of CLNO, NINQ, DELINQ, CLAGE and MORTDUE. Together they carry about 2% of the forest's decision power. The lowest cost plus one standard error gives a limit of about $327,000. Below 22 inputs the cost rises steadily, to about $329,000 for 21 inputs and $402,000 for 10. The next smaller set is above the limit, so the rule keeps 22 inputs.</w:t>
      </w:r>
    </w:p>
    <w:p>
      <w:pPr>
        <w:keepNext/>
        <w:spacing w:after="60" w:before="120"/>
        <w:jc w:val="center"/>
      </w:pPr>
      <w:r>
        <w:drawing>
          <wp:inline distT="0" distB="0" distL="0" distR="0">
            <wp:extent cx="584835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Stage 2 of the selection: the chosen forest's mean out-of-fold cost (three seeds) as we remove the weakest inputs one at a time. The shaded band marks one standard error (about $9,700) above the lowest cost. The rule keeps the smallest set inside the band: 22 inputs.</w:t>
      </w:r>
    </w:p>
    <w:p>
      <w:pPr>
        <w:spacing w:after="140" w:line="276"/>
        <w:jc w:val="both"/>
      </w:pPr>
      <w:r>
        <w:rPr>
          <w:rFonts w:ascii="Calibri" w:cs="Calibri" w:eastAsia="Calibri" w:hAnsi="Calibri"/>
          <w:sz w:val="22"/>
          <w:szCs w:val="22"/>
        </w:rPr>
        <w:t xml:space="preserve">Stage 3 compared the forest on the 22 selected inputs with the same forest on all 27 inputs. It also tested the forest without any occupation information (16 inputs), the fallback a fair-lending review might require. The recall-tuned grid winner competed on all 27 inputs and on the 12-input subset.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22 inputs (selected set)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$324,000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16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3 of the selection: final candidates on repeated out-of-fold predictions of the training rows (mean of three 5-fold splits, one forest seed).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has the lowest expected cost of all techniques, on 22 and on 27 inputs.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Five fewer inputs at about the same cost. </w:t>
      </w:r>
      <w:r>
        <w:rPr>
          <w:rFonts w:ascii="Calibri" w:cs="Calibri" w:eastAsia="Calibri" w:hAnsi="Calibri"/>
          <w:sz w:val="22"/>
          <w:szCs w:val="22"/>
        </w:rPr>
        <w:t xml:space="preserve">The forest on all 27 inputs has the lowest cost in Table 5 ($317,000). The forest on the 22 selected inputs costs $324,000, within one standard error (about $10,500). By the pre-stated rule, Stage 3 therefore kept the simpler 22-input forest. A paired fold-by-fold check agrees: the 22-input forest costs about $6,800 more on average, with a paired standard error of about $6,300. With three seeds, the two input sets differ by only about $1,100 (Figure 6). The final model uses 22 inputs: the 10 financial attributes, six missing flags and the six one-hot indicators. The kept flags are those of VALUE, REASON, JOB, YOJ, DEROG and DEBTINC. Without occupation, the selected set keeps 16 inputs and costs about 13% more ($365,000), well outside one standard error. Occupation therefore adds value at the cost-optimal operating point. Removing it is a policy choice with a measurable price. One caveat applies. We ranked the inputs on all training rows before the cross-validation, and this can slightly favour the smaller sets. The removed flags carry almost no weight, so the effect is small.</w:t>
      </w:r>
    </w:p>
    <w:p>
      <w:pPr>
        <w:keepNext/>
        <w:spacing w:after="60" w:before="120"/>
        <w:jc w:val="center"/>
      </w:pPr>
      <w:r>
        <w:drawing>
          <wp:inline distT="0" distB="0" distL="0" distR="0">
            <wp:extent cx="5848350" cy="3857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Recall and precision (top) and indicative expected cost (bottom) as the forest's threshold moves, on out-of-fold predictions of the training rows.</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cost ratios from 4.5:1 to 8:1. It moves to 0.20 at 2:1 and 3:1, and to 0.10 at 9:1. The assumed 4.5:1 ratio sits at the lower edge of this range. Figure 7 shows the curves at the 4.5:1 costs. The threshold also stays at 0.15 on a finer 0.01 grid. We repeated the class-weight search for fully grown trees on two other 70/30 splits. The unweighted forest on all 27 inputs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0.063 against 0.160 for the base rate). Applicants scored 0.10 to 0.15 defaulted about 10% of the time, and those scored 0.15 to 0.20 about 28%. So a score of 0.15 reads as roughly one-in-five estimated risk. Table 7 lists the 22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67.4% precision, 89.6% accuracy, ROC-AUC 0.96. At the conventional 0.5 threshold the same model gives 67.8% recall and 82.9%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90.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67% vs 64%, cost $310,000 ± $28,000 vs $324,000). One test evaluation is too noisy to choose between the close configurations and input sets,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21% defaulted). It would decline about 24% (73% defaulted, 88% of all defaulters). It declines about 64 creditworthy applicants automatically and refers about 58.</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88%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97% of these applicants and catches 99% of their defaulters. On applicants with a recorded ratio, it flags 9% and catches 81% of their defaulters at 78%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it flags an applicant with a delinquent credit line and a credit history of about 93 months (7.8 years) or less.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8 shows the inputs that the forest relies on most. The debt-to-income ratio, its missing flag, delinquent lines and credit-history length together carry about half of its decision power (48%). Permutation importance ranks the same four at the top. Derogatory reports and recent inquiries matter less than the loan amount.</w:t>
      </w:r>
    </w:p>
    <w:p>
      <w:pPr>
        <w:keepNext/>
        <w:spacing w:after="60" w:before="120"/>
        <w:jc w:val="center"/>
      </w:pPr>
      <w:r>
        <w:drawing>
          <wp:inline distT="0" distB="0" distL="0" distR="0">
            <wp:extent cx="5391150" cy="2733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8.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4 of the 22 inputs, chosen at random (the square root of 22,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22 inputs are of three kinds. The 10 financial attributes (LOAN, MORTDUE, VALUE, YOJ, DEROG, DELINQ, CLAGE, NINQ, CLNO, DEBTINC). A 0/1 missing-value flag for six fields (VALUE, REASON, JOB, YOJ, DEROG, DEBTINC). Six 0/1 indicators from one-hot encoding (REASON = HomeImp, and JOB = Office, Other, ProfExe, Sales, Self). Stage 2 removed the missing flags of MORTDUE, DELINQ, CLAGE, NINQ and CLNO. Median/mode imputation learned on training rows.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4.5:1 to 8:1. It is just below the textbook break-even of 0.18, as expected for a score that understates risk. On two other train/test splits, the unweighted 27-input forest also chose 0.15. We will re-derive it with the bank's own loss and margin figures. Approve / refer / decline bands at 0.10 and 0.25 keep an underwriter in the loop around the threshold. On the test set the bands hold about 69% / 7% / 24% of applicants, with default rates of about 1% / 21% / 73%. The headline figures (92.7% recall, 67.4%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the selected inputs without any occupation information (16 inputs), if the fair-lending review requires it. Its expected credit-error cost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Its configuration has the lowest expected cost of credit errors among the fifteen forest configurations (Table 4). Among the eight final candidates (Table 5), only the same forest on all 27 inputs costs less. That gap is within one standard error, so the rule chose the simpler 22-input forest. The test set played no part in the choice. We then measured it once on the test set (93% recall, 67% precision, consistent with the out-of-fold estimate). It is stable: hundreds of averaged trees, out-of-fold and test agree, and the threshold holds over a range of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67.4% precision (ROC-AUC 0.96). This agrees with the out-of-fold estimate (recall 94%, precision 64%).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16-input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81% of their defaulters at 78%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a757fb5be3bb5902635cbb64fc5d94bf04b96d41.png"/><Relationship Id="rId13" Type="http://schemas.openxmlformats.org/officeDocument/2006/relationships/image" Target="media/32384b886a66d3854a886150fec649c3a00bdc13.png"/><Relationship Id="rId14" Type="http://schemas.openxmlformats.org/officeDocument/2006/relationships/image" Target="media/687914e7a72a24d90b1fafd7a47c7239b3527b8d.png"/><Relationship Id="rId15" Type="http://schemas.openxmlformats.org/officeDocument/2006/relationships/image" Target="media/d1ae4c9accb6c9d79270d041454313cf5cdb63e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2026-10-29T17:11:43.096Z</dcterms:created>
  <dcterms:modified xsi:type="dcterms:W3CDTF">2026-10-29T17:11:43.097Z</dcterms:modified>
</cp:coreProperties>
</file>

<file path=docProps/custom.xml><?xml version="1.0" encoding="utf-8"?>
<Properties xmlns="http://schemas.openxmlformats.org/officeDocument/2006/custom-properties" xmlns:vt="http://schemas.openxmlformats.org/officeDocument/2006/docPropsVTypes"/>
</file>