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24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application included the ratio. Applicants with no property valuation defaulted 94% of the time (Figure A1).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(Figure A2).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 (Figure A3).</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 (Figure A2).</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forest changes its performance by about a point. At the cost-optimal threshold, removing occupation alone raises the expected cost of credit errors by about 10%. We therefore keep occupation, subject to the fair-lending review, with a 21-input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(Table 2, Figure 1). We chose the final model's configuration (class weights, tree size, input set) and its decision threshold together, on the training rows alone. We judged them by the expected cost, in dollars, of their out-of-fold mistakes, under a rule fixed in advance. We then measured performance once on the test set. Table 1 gives the full specification.</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random seed 1. Each split tries 5 of the 27 inputs at random (the library default). Extra weight for defaulters added nothing once we chose the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First, the 10 financial attributes (LOAN, MORTDUE, VALUE, YOJ, DEROG, DELINQ, CLAGE, NINQ, CLNO, DEBTINC). Second, a 0/1 missing-value flag for each of the 11 fields with gaps (every attribute except LOAN). Third, six 0/1 indicators from one-hot encoding: one for REASON = HomeImp and five for JOB = Office, Other, ProfExe, Sales, Self. Fallback if the fair-lending review requires it: the same forest without any occupation information. This removes the five occupation indicators and the occupation-missing flag, leaving 21 inputs. Its expected cost of credit errors is about 10%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The medians are MORTDUE $66,293, VALUE $89,965, YOJ 7 years, DEROG 0, DELINQ 0, CLAGE 173.87 months, NINQ 1, CLNO 20 and DEBTINC 34.84%. The modes are DebtCon (REASON) and Other (JOB). LOAN has no blanks. A missing-value flag for every imputed field,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between 3:1 and 6:1, on a finer grid and on two other train/test splits. It sits just below the textbook break-even for the stated costs ($2,000 / $11,000 = 0.18). The reason is that the forest's scores understate risk in the decision range (applicants scored 0.15 to 0.20 defaulted about 23%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Its rules flag a missing debt-to-income ratio or a ratio above about 44%. At or below 44%, they flag a delinquent credit line together with a major derogatory report. These rules give the plain-language summary of how the model decides. Each adverse-action notice that the Equal Credit Opportunity Act requires gives the applicant's own top risk drivers from the forest (for example SHAP values). The bank builds these drivers in the first two months, before the shadow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conventional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stratified cross-validation. We chose the final settings and threshold on the expected cost of out-of-fold mistakes (three rounds of 5-fold cross-validation on the training rows). A rule fixed in advance decided the choice. Robustness checks: a finer threshold grid, two other splits, a calibration table. We scored the test set once.</w:t>
            </w:r>
          </w:p>
        </w:tc>
      </w:tr>
    </w:tbl>
    <w:p>
      <w:pPr>
        <w:keepLines/>
        <w:spacing w:after="220"/>
        <w:jc w:val="center"/>
      </w:pPr>
      <w:r>
        <w:rPr>
          <w:rFonts w:ascii="Calibri" w:cs="Calibri" w:eastAsia="Calibri" w:hAnsi="Calibri"/>
          <w:i/>
          <w:iCs/>
          <w:color w:val="595959"/>
          <w:sz w:val="19"/>
          <w:szCs w:val="19"/>
        </w:rPr>
        <w:t xml:space="preserve">Table 1. Final proposed model specification.</w:t>
      </w: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per-applicant risk drivers (for example SHAP values) for the adverse-action notices.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the approval rate monthly, and recall and precision as repayment outcomes arrive.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a combined loan-to-value ratio, debt-to-income bands, interaction terms,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At the 0.15 threshold we expect it to flag about 87 creditworthy applicants. Under the approve / refer / decline bands, the bank declines about 62 creditworthy applicants per 1,000 automatically and refers about 55 to an underwriter. The cost assumptions are indicative: a missed defaulter costs about $9,000, and a wrongly declined good applicant costs about $2,000. Under these assumptions the model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a large part of the principal plus collection costs. Declining a creditworthy applicant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the logistic regression, the decision tree and the random forest with cross-validated grid search that optimises recall. We evaluated each model on the test set (the held-out 30%). Moving from one tree to bagging to a forest shows what each idea contributes. Time-series techniques were not applicable because the applications carry no dates. Table 2 and Figure 1 summarise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the proposed model at the 0.5 threshold)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keepLines/>
        <w:spacing w:after="220"/>
        <w:jc w:val="center"/>
      </w:pPr>
      <w:r>
        <w:rPr>
          <w:rFonts w:ascii="Calibri" w:cs="Calibri" w:eastAsia="Calibri" w:hAnsi="Calibri"/>
          <w:i/>
          <w:iCs/>
          <w:color w:val="595959"/>
          <w:sz w:val="19"/>
          <w:szCs w:val="19"/>
        </w:rPr>
        <w:t xml:space="preserve">Table 2. Performance of the techniques explored on the test set (1,788 applicants), at the conventional 0.5 threshold except for the proposed model.</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We scored fifteen forest configurations and then five final forest candidates, each at its own cost-minimising threshold, under a rule that we fixed beforehand. The fifteen configurations were five weightings, each with fully grown trees or with trees limited to at least 5 or 10 applicants per leaf. Three candidates used the best configuration: on all 27 inputs, without occupation, and on a 12-input subset. The other two were the recall-tuned forest on 27 and 12 inputs. Under that rule, the lowest average cost wins. When several candidates are within the run-to-run noise of the estimate (about $10,500 per 1,000 applicants), the simplest wins.</w:t>
      </w:r>
    </w:p>
    <w:p>
      <w:pPr>
        <w:spacing w:after="140" w:line="276"/>
        <w:jc w:val="both"/>
      </w:pPr>
      <w:r>
        <w:rPr>
          <w:rFonts w:ascii="Calibri" w:cs="Calibri" w:eastAsia="Calibri" w:hAnsi="Calibri"/>
          <w:sz w:val="22"/>
          <w:szCs w:val="22"/>
        </w:rPr>
        <w:t xml:space="preserve">Fully grown trees beat limited trees for every weighting. Among them, the unweighted, 0.3/0.7 and 0.2/0.8 forests were within that noise of each other, at thresholds of 0.15, 0.20 and 0.25. The balanced and 0.1/0.9 weightings cost about $13,000 and $27,000 more per 1,000 applicants. So we chose the unweighted forest on all 27 inputs. When precision also carries a cost, the recall-tuned grid winner cost about half again as much. The forest without occupation cost about 10% more. The 12-input forest cost about a fifth more. We scored the bagged trees, the balanced logistic regression and the recall-tuned decision tree the same way, at their own best thresholds. They cost about $390,000, $550,000 and $607,000 per 1,000 applicants, against $317,000 for the forest. So the forest wins on the chosen yardstick as well as on ranking quality.</w:t>
      </w:r>
    </w:p>
    <w:p>
      <w:pPr>
        <w:spacing w:after="140" w:line="276"/>
        <w:jc w:val="both"/>
      </w:pPr>
      <w:r>
        <w:rPr>
          <w:rFonts w:ascii="Calibri" w:cs="Calibri" w:eastAsia="Calibri" w:hAnsi="Calibri"/>
          <w:sz w:val="22"/>
          <w:szCs w:val="22"/>
        </w:rPr>
        <w:t xml:space="preserve">The cost-minimising threshold is 0.15 (Figure 2). It stays at 0.15 for any cost ratio between 3:1 and 6:1, on a finer grid and on two other train/test splits. It sits just below the textbook break-even of 0.18 for a perfectly calibrated score. The reason is that the forest's scores rank applicants well but understate risk in the decision range. Applicants scored 0.15 to 0.20 defaulted about 23% of the time. We scored the forest once on the test set at that threshold. It catches 93% of defaulters at 68% precision, against 69% and 84% at the conventional 0.5. The test result (cost about $304,000 ± $28,000 per 1,000 applicants) is consistent with the out-of-fold estimate ($317,000). The choice between the closely matched configurations rests on the out-of-fold comparison. A single test evaluation is too noisy to decide between them.</w:t>
      </w:r>
    </w:p>
    <w:p>
      <w:pPr>
        <w:keepNext/>
        <w:spacing w:after="60" w:before="120"/>
        <w:jc w:val="center"/>
      </w:pPr>
      <w:r>
        <w:drawing>
          <wp:inline distT="0" distB="0" distL="0" distR="0">
            <wp:extent cx="5848350" cy="3857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the applicant when there is a delinquent credit line together with a major derogatory report. Otherwise it clears the applicant. Those rules give the plain-language summary of how the model decides. The forest's feature importances (Figure 3) show what drives the score overall. For each decline, the adverse-action notice gives the applicant's own top risk drivers from the forest. The bank builds these drivers (for example SHAP values) in the first two months, before the shadow run.</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 Table A1 gives the test-set counts.</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At the 0.15 threshold the model flags about 87 creditworthy applicants per 1,000. This is the price of catching defaulters. It is far lower than the single decision tree's 145. The bank can reduce it further by routing borderline cases to a human underwriter instead of declining them outright. Under the approve / refer / decline bands, the bank declines about 62 creditworthy applicants per 1,000 automatically and refers about 55.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keepNext/>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The twelve inputs that the final Random Forest relies on most (impurity-based importance). Four inputs carry about half of the model's decision power. They are the debt-to-income ratio, its missing-value flag, delinquent credit lines and the credit-history length. Permutation importance ranks the same four at the top.</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24% and 74%.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Before go-live, the bank tests the model on the historical applicants with a recorded ratio, and refits it if necessary. On those applicants the model already catches 83% of defaulters at 80% precision while flagging only 9%. Re-training on the outcomes of newly verified applicants needs 12 months or more of repayment data.</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together with the score. They are transparent and easy to communicate, and they use the same drivers as the model. The model applies the drivers more finely: its surrogate flags a delinquent line together with a derogatory report at any recorded ratio. Where a hard rule and the score disagree, the stricter outcome applies. The band shares in recommendation 1 do not include these rule-driven referrals.</w:t>
      </w:r>
    </w:p>
    <w:p>
      <w:pPr>
        <w:pStyle w:val="ListParagraph"/>
        <w:numPr>
          <w:ilvl w:val="0"/>
          <w:numId w:val="3"/>
        </w:numPr>
        <w:spacing w:after="100" w:line="264"/>
      </w:pPr>
      <w:r>
        <w:rPr>
          <w:rFonts w:ascii="Calibri" w:cs="Calibri" w:eastAsia="Calibri" w:hAnsi="Calibri"/>
          <w:b/>
          <w:bCs/>
          <w:sz w:val="22"/>
          <w:szCs w:val="22"/>
        </w:rPr>
        <w:t xml:space="preserve">Give every decline its own documented reason. </w:t>
      </w:r>
      <w:r>
        <w:rPr>
          <w:rFonts w:ascii="Calibri" w:cs="Calibri" w:eastAsia="Calibri" w:hAnsi="Calibri"/>
          <w:sz w:val="22"/>
          <w:szCs w:val="22"/>
        </w:rPr>
        <w:t xml:space="preserve">Build per-applicant risk drivers from the forest (for example SHAP values) in the first two months, before the shadow run. They give the reason on each adverse-action notice, including the automatic declines above 0.25. The surrogate tree's rules reproduce 93% of the forest's flag decisions at the 0.15 threshold. They give the plain-language summary of how the model decides. A referral that ends in a decline carries the underwriter's reason. Store the reasons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any cost ratio between 3:1 and 6:1. It would move to 0.20 if the ratio were nearer 2:1.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because the training data contains only approved loans. Compare the model's decisions with the manual decisions. The outcomes of declined applicants stay unknown, and reject inference needs 12 months or more of data. Test approval and error rates across protected groups. If the review requires the bank to remove occupation, switch to the 21-input fallback model without occupation. Its expected credit-error cost is about 10%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the approval rate, the score distribution and the share of applications with missing fields monthly. Track recall and precision as repayment outcomes arrive.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p>
      <w:pPr>
        <w:keepNext/>
        <w:spacing w:after="140" w:line="276"/>
        <w:jc w:val="both"/>
      </w:pPr>
      <w:r>
        <w:rPr>
          <w:rFonts w:ascii="Calibri" w:cs="Calibri" w:eastAsia="Calibri" w:hAnsi="Calibri"/>
          <w:sz w:val="22"/>
          <w:szCs w:val="22"/>
        </w:rPr>
        <w:t xml:space="preserve">Table 3 lists the actions for each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the per-applicant risk drivers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Build the scoring pipeline (imputation, missing flags, model, threshold, per-applicant risk drivers such as SHAP values) in the first two months.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Review the adverse-action reasons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keepLines/>
        <w:spacing w:after="220"/>
        <w:jc w:val="center"/>
      </w:pPr>
      <w:r>
        <w:rPr>
          <w:rFonts w:ascii="Calibri" w:cs="Calibri" w:eastAsia="Calibri" w:hAnsi="Calibri"/>
          <w:i/>
          <w:iCs/>
          <w:color w:val="595959"/>
          <w:sz w:val="19"/>
          <w:szCs w:val="19"/>
        </w:rPr>
        <w:t xml:space="preserve">Table 3. Key actionables for each stakeholder.</w:t>
      </w:r>
    </w:p>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in Table 4 are indicative and rest on the stated assumptions. Their purpose is to size the opportunity. The bank should refine them with its own numbers.</w:t>
      </w:r>
    </w:p>
    <w:p>
      <w:pPr>
        <w:keepNext/>
        <w:spacing w:after="140" w:line="276"/>
        <w:jc w:val="both"/>
      </w:pPr>
      <w:r>
        <w:rPr>
          <w:rFonts w:ascii="Calibri" w:cs="Calibri" w:eastAsia="Calibri" w:hAnsi="Calibri"/>
          <w:b/>
          <w:bCs/>
          <w:sz w:val="22"/>
          <w:szCs w:val="22"/>
        </w:rPr>
        <w:t xml:space="preserve">Assumptions.</w:t>
      </w:r>
    </w:p>
    <w:p>
      <w:pPr>
        <w:pStyle w:val="ListParagraph"/>
        <w:numPr>
          <w:ilvl w:val="0"/>
          <w:numId w:val="2"/>
        </w:numPr>
        <w:spacing w:after="90" w:line="264"/>
      </w:pPr>
      <w:r>
        <w:rPr>
          <w:rFonts w:ascii="Calibri" w:cs="Calibri" w:eastAsia="Calibri" w:hAnsi="Calibri"/>
          <w:b/>
          <w:bCs/>
          <w:sz w:val="22"/>
          <w:szCs w:val="22"/>
        </w:rPr>
        <w:t xml:space="preserve">Volume and cost of a missed defaulter: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w:t>
      </w:r>
    </w:p>
    <w:p>
      <w:pPr>
        <w:pStyle w:val="ListParagraph"/>
        <w:numPr>
          <w:ilvl w:val="0"/>
          <w:numId w:val="2"/>
        </w:numPr>
        <w:spacing w:after="90" w:line="264"/>
      </w:pPr>
      <w:r>
        <w:rPr>
          <w:rFonts w:ascii="Calibri" w:cs="Calibri" w:eastAsia="Calibri" w:hAnsi="Calibri"/>
          <w:b/>
          <w:bCs/>
          <w:sz w:val="22"/>
          <w:szCs w:val="22"/>
        </w:rPr>
        <w:t xml:space="preserve">Cost of a wrongly declined applicant: </w:t>
      </w:r>
      <w:r>
        <w:rPr>
          <w:rFonts w:ascii="Calibri" w:cs="Calibri" w:eastAsia="Calibri" w:hAnsi="Calibri"/>
          <w:sz w:val="22"/>
          <w:szCs w:val="22"/>
        </w:rPr>
        <w:t xml:space="preserve">It is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w:t>
      </w:r>
    </w:p>
    <w:p>
      <w:pPr>
        <w:pStyle w:val="ListParagraph"/>
        <w:numPr>
          <w:ilvl w:val="0"/>
          <w:numId w:val="2"/>
        </w:numPr>
        <w:spacing w:after="90" w:line="264"/>
      </w:pPr>
      <w:r>
        <w:rPr>
          <w:rFonts w:ascii="Calibri" w:cs="Calibri" w:eastAsia="Calibri" w:hAnsi="Calibri"/>
          <w:b/>
          <w:bCs/>
          <w:sz w:val="22"/>
          <w:szCs w:val="22"/>
        </w:rPr>
        <w:t xml:space="preserve">Cost ratio: </w:t>
      </w:r>
      <w:r>
        <w:rPr>
          <w:rFonts w:ascii="Calibri" w:cs="Calibri" w:eastAsia="Calibri" w:hAnsi="Calibri"/>
          <w:sz w:val="22"/>
          <w:szCs w:val="22"/>
        </w:rPr>
        <w:t xml:space="preserve">If the true ratio were nearer 2:1, the cost-minimising threshold would move to 0.20. At 0.20, the out-of-fold data shows about 90% recall and 83 good applicants declined per 1,000.</w:t>
      </w:r>
    </w:p>
    <w:p>
      <w:pPr>
        <w:pStyle w:val="ListParagraph"/>
        <w:numPr>
          <w:ilvl w:val="0"/>
          <w:numId w:val="2"/>
        </w:numPr>
        <w:spacing w:after="90" w:line="264"/>
      </w:pPr>
      <w:r>
        <w:rPr>
          <w:rFonts w:ascii="Calibri" w:cs="Calibri" w:eastAsia="Calibri" w:hAnsi="Calibri"/>
          <w:b/>
          <w:bCs/>
          <w:sz w:val="22"/>
          <w:szCs w:val="22"/>
        </w:rPr>
        <w:t xml:space="preserve">Performance in production: </w:t>
      </w:r>
      <w:r>
        <w:rPr>
          <w:rFonts w:ascii="Calibri" w:cs="Calibri" w:eastAsia="Calibri" w:hAnsi="Calibri"/>
          <w:sz w:val="22"/>
          <w:szCs w:val="22"/>
        </w:rPr>
        <w:t xml:space="preserve">We assume that production performance equals test-set performance (93% of defaulters caught, 68% precision at threshold 0.15). This assumption applies to an applicant population like the one that the current process approves. So the benefit is an additional screen on those applicants. The outcomes of applicants that the manual process declines today stay unknown.</w:t>
      </w:r>
    </w:p>
    <w:p>
      <w:pPr>
        <w:pStyle w:val="ListParagraph"/>
        <w:numPr>
          <w:ilvl w:val="0"/>
          <w:numId w:val="2"/>
        </w:numPr>
        <w:spacing w:after="90" w:line="264"/>
      </w:pPr>
      <w:r>
        <w:rPr>
          <w:rFonts w:ascii="Calibri" w:cs="Calibri" w:eastAsia="Calibri" w:hAnsi="Calibri"/>
          <w:b/>
          <w:bCs/>
          <w:sz w:val="22"/>
          <w:szCs w:val="22"/>
        </w:rPr>
        <w:t xml:space="preserve">Before verification: </w:t>
      </w:r>
      <w:r>
        <w:rPr>
          <w:rFonts w:ascii="Calibri" w:cs="Calibri" w:eastAsia="Calibri" w:hAnsi="Calibri"/>
          <w:sz w:val="22"/>
          <w:szCs w:val="22"/>
        </w:rPr>
        <w:t xml:space="preserve">Two thirds of defaulters sit in the fifth of applicants with no recorded debt-to-income ratio. The model flags that group almost entirely (96%), and mandatory verification will shrink it. On applicants with a recorded ratio, the model catches 83% of defaulters at 80% precision while flagging 9%. That is the better guide to its behaviour once verification is in place.</w:t>
      </w:r>
    </w:p>
    <w:p>
      <w:pPr>
        <w:pStyle w:val="ListParagraph"/>
        <w:numPr>
          <w:ilvl w:val="0"/>
          <w:numId w:val="2"/>
        </w:numPr>
        <w:spacing w:after="90" w:line="264"/>
      </w:pPr>
      <w:r>
        <w:rPr>
          <w:rFonts w:ascii="Calibri" w:cs="Calibri" w:eastAsia="Calibri" w:hAnsi="Calibri"/>
          <w:b/>
          <w:bCs/>
          <w:sz w:val="22"/>
          <w:szCs w:val="22"/>
        </w:rPr>
        <w:t xml:space="preserve">Bands: </w:t>
      </w:r>
      <w:r>
        <w:rPr>
          <w:rFonts w:ascii="Calibri" w:cs="Calibri" w:eastAsia="Calibri" w:hAnsi="Calibri"/>
          <w:sz w:val="22"/>
          <w:szCs w:val="22"/>
        </w:rPr>
        <w:t xml:space="preserve">All figures are for the single 0.15 threshold. The approve / refer / decline bands are the operating procedure around it. Whatever underwriters approve inside the referral band trades some of the modelled benefit for a human check. The referral band holds about 7% of applications, and one in four of them defaulted. Under the bands, the share of defaulters caught lies between about 87%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flagged at the 0.15 threshold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and about $8.5 million in the first year after the one-off implementation cost</w:t>
            </w:r>
          </w:p>
        </w:tc>
      </w:tr>
    </w:tbl>
    <w:p>
      <w:pPr>
        <w:keepLines/>
        <w:spacing w:after="220"/>
        <w:jc w:val="center"/>
      </w:pPr>
      <w:r>
        <w:rPr>
          <w:rFonts w:ascii="Calibri" w:cs="Calibri" w:eastAsia="Calibri" w:hAnsi="Calibri"/>
          <w:i/>
          <w:iCs/>
          <w:color w:val="595959"/>
          <w:sz w:val="19"/>
          <w:szCs w:val="19"/>
        </w:rPr>
        <w:t xml:space="preserve">Table 4.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p>
      <w:pPr>
        <w:keepNext/>
        <w:spacing w:after="140" w:line="276"/>
        <w:jc w:val="both"/>
      </w:pPr>
      <w:r>
        <w:rPr>
          <w:rFonts w:ascii="Calibri" w:cs="Calibri" w:eastAsia="Calibri" w:hAnsi="Calibri"/>
          <w:sz w:val="22"/>
          <w:szCs w:val="22"/>
        </w:rPr>
        <w:t xml:space="preserve">Table 5 lists the main risks and how the bank can reduce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Before go-live, test the model on historical applicants with a recorded ratio. Re-train on verified outcomes after 12 months or more. Monitor the share of missing fields. On applicants with a recorded ratio, the model already catches 83% of defaulters at 80%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21-input fallback (no occupation information, about 10%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Give each decline the applicant's own top risk drivers (built in the first two months). Use the surrogate tree as the plain-language summary. Keep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keepLines/>
        <w:spacing w:after="220"/>
        <w:jc w:val="center"/>
      </w:pPr>
      <w:r>
        <w:rPr>
          <w:rFonts w:ascii="Calibri" w:cs="Calibri" w:eastAsia="Calibri" w:hAnsi="Calibri"/>
          <w:i/>
          <w:iCs/>
          <w:color w:val="595959"/>
          <w:sz w:val="19"/>
          <w:szCs w:val="19"/>
        </w:rPr>
        <w:t xml:space="preserve">Table 5. Potential risks and challenges, with mitigations.</w:t>
      </w:r>
    </w:p>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example credit-bureau data) for applicants that the manual process declined. Then the model can reflect the whole applicant population. This needs 12 months or more of data.</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combined loan-to-value ratio ((LOAN + MORTDUE) / VALUE), debt-to-income bands and interaction terms, which the trees currently approximate. The data has no income or loan-term field, so payment-to-income measures need new data.</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23%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Reason wording: </w:t>
      </w:r>
      <w:r>
        <w:rPr>
          <w:rFonts w:ascii="Calibri" w:cs="Calibri" w:eastAsia="Calibri" w:hAnsi="Calibri"/>
          <w:sz w:val="22"/>
          <w:szCs w:val="22"/>
        </w:rPr>
        <w:t xml:space="preserve">turn the per-applicant risk drivers (built in the first two months) into applicant-friendly language, and test that wording with compliance staff and with applicants.</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keepNext/>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keepNext/>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keepNext/>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keepNext/>
        <w:spacing w:after="60" w:before="120"/>
        <w:jc w:val="center"/>
      </w:pPr>
      <w:r>
        <w:drawing>
          <wp:inline distT="0" distB="0" distL="0" distR="0">
            <wp:extent cx="6038850" cy="25908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68.1% were real defaulters. Of all decisions, 89.9% were correct.</w:t>
      </w:r>
    </w:p>
    <w:p>
      <w:pPr>
        <w:spacing w:after="140" w:line="276"/>
        <w:jc w:val="both"/>
      </w:pPr>
      <w:r>
        <w:rPr>
          <w:rFonts w:ascii="Calibri" w:cs="Calibri" w:eastAsia="Calibri" w:hAnsi="Calibri"/>
          <w:sz w:val="22"/>
          <w:szCs w:val="22"/>
        </w:rPr>
        <w:t xml:space="preserve">The project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 holds the complete analysis, including all exploratory charts, model code, cross-validation results and the full decision-tree rules. This report does not depend on it.</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71a1dc284b918868e8fa7c37953109adcd1c91c.png"/><Relationship Id="rId9" Type="http://schemas.openxmlformats.org/officeDocument/2006/relationships/image" Target="media/a1903e965bc6c6cff9af3c6238cc3735d527e2a7.png"/><Relationship Id="rId10" Type="http://schemas.openxmlformats.org/officeDocument/2006/relationships/image" Target="media/794132d1716db6377e206e2c1807dee7fad28a78.png"/><Relationship Id="rId11" Type="http://schemas.openxmlformats.org/officeDocument/2006/relationships/image" Target="media/c6d711608a321557841fdd75852a8eac0f1a2079.png"/><Relationship Id="rId12" Type="http://schemas.openxmlformats.org/officeDocument/2006/relationships/image" Target="media/10fbed83f1ff1fdc9f10d69d2d163ca32025200c.png"/><Relationship Id="rId13" Type="http://schemas.openxmlformats.org/officeDocument/2006/relationships/image" Target="media/c31babb0fe603f3652d40d4e30cb15ae2a07d846.png"/><Relationship Id="rId14" Type="http://schemas.openxmlformats.org/officeDocument/2006/relationships/image" Target="media/8ce5587efc04d145fbb0233d6e1c3059ebf986b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2026-10-29T04:14:27.700Z</dcterms:created>
  <dcterms:modified xsi:type="dcterms:W3CDTF">2026-10-29T04:14:27.700Z</dcterms:modified>
</cp:coreProperties>
</file>

<file path=docProps/custom.xml><?xml version="1.0" encoding="utf-8"?>
<Properties xmlns="http://schemas.openxmlformats.org/officeDocument/2006/custom-properties" xmlns:vt="http://schemas.openxmlformats.org/officeDocument/2006/docPropsVTypes"/>
</file>