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  |  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and the single biggest threat to that profit is the borrower who does not pay back: every loan that turns into a non-performing asset wipes out the interest earned on many good loans. Today the approval decision is made by an underwriter's manual study of each application. That process is slow, expensive, inconsistent between underwriters and open to human error and bias, and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all of them approved by the current process. Those loans averaged about $16,900, so roughly $20 million of principal was put at risk and, with about half recovered through the collateral, roughly $10 million was lost on this book alone. Every ten defaulters avoided saves about $85,000; every good customer wrongly turned away costs only the interest margin on one loan, a few thousand dollars at most.</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(1) cuts credit losses by stopping likely defaulters at the door, (2) protects revenue by not declining good customers unnecessarily, (3) speeds up and standardises decisions so underwriters spend their time on the genuinely uncertain cases, and (4) gives the bank documented, consistent reasons for every decision, which is both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 client is likely to default on a home equity loan, and give the bank recommendations on which applicant attributes matter most when approving a loan. In priority order:</w:t>
      </w:r>
    </w:p>
    <w:p>
      <w:pPr>
        <w:pStyle w:val="ListParagraph"/>
        <w:numPr>
          <w:ilvl w:val="0"/>
          <w:numId w:val="2"/>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identified at application time (recall on the default class), because a missed defaulter is the costliest error.</w:t>
      </w:r>
    </w:p>
    <w:p>
      <w:pPr>
        <w:pStyle w:val="ListParagraph"/>
        <w:numPr>
          <w:ilvl w:val="0"/>
          <w:numId w:val="2"/>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customers acceptable (precision), so that risk reduction does not come at the price of lost revenue.</w:t>
      </w:r>
    </w:p>
    <w:p>
      <w:pPr>
        <w:pStyle w:val="ListParagraph"/>
        <w:numPr>
          <w:ilvl w:val="0"/>
          <w:numId w:val="2"/>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 rejection is not usable in production.</w:t>
      </w:r>
    </w:p>
    <w:p>
      <w:pPr>
        <w:pStyle w:val="ListParagraph"/>
        <w:numPr>
          <w:ilvl w:val="0"/>
          <w:numId w:val="2"/>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so the bank can tighten its approval rules and data collection even before a model is deployed.</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numPr>
          <w:ilvl w:val="0"/>
          <w:numId w:val="3"/>
        </w:numPr>
        <w:spacing w:after="100" w:line="264"/>
      </w:pPr>
      <w:r>
        <w:rPr>
          <w:rFonts w:ascii="Calibri" w:cs="Calibri" w:eastAsia="Calibri" w:hAnsi="Calibri"/>
          <w:sz w:val="22"/>
          <w:szCs w:val="22"/>
        </w:rPr>
        <w:t xml:space="preserve">What share of past applicants defaulted, and how imbalanced is the problem?</w:t>
      </w:r>
    </w:p>
    <w:p>
      <w:pPr>
        <w:pStyle w:val="ListParagraph"/>
        <w:numPr>
          <w:ilvl w:val="0"/>
          <w:numId w:val="3"/>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numPr>
          <w:ilvl w:val="0"/>
          <w:numId w:val="3"/>
        </w:numPr>
        <w:spacing w:after="100" w:line="264"/>
      </w:pPr>
      <w:r>
        <w:rPr>
          <w:rFonts w:ascii="Calibri" w:cs="Calibri" w:eastAsia="Calibri" w:hAnsi="Calibri"/>
          <w:sz w:val="22"/>
          <w:szCs w:val="22"/>
        </w:rPr>
        <w:t xml:space="preserve">How should missing information be treated? Is the absence of information itself a risk signal?</w:t>
      </w:r>
    </w:p>
    <w:p>
      <w:pPr>
        <w:pStyle w:val="ListParagraph"/>
        <w:numPr>
          <w:ilvl w:val="0"/>
          <w:numId w:val="3"/>
        </w:numPr>
        <w:spacing w:after="100" w:line="264"/>
      </w:pPr>
      <w:r>
        <w:rPr>
          <w:rFonts w:ascii="Calibri" w:cs="Calibri" w:eastAsia="Calibri" w:hAnsi="Calibri"/>
          <w:sz w:val="22"/>
          <w:szCs w:val="22"/>
        </w:rPr>
        <w:t xml:space="preserve">Which technique (linear vs tree-based vs ensemble) gives the best trade-off between catching defaulters and wrongly rejecting good customers?</w:t>
      </w:r>
    </w:p>
    <w:p>
      <w:pPr>
        <w:pStyle w:val="ListParagraph"/>
        <w:numPr>
          <w:ilvl w:val="0"/>
          <w:numId w:val="3"/>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numPr>
          <w:ilvl w:val="0"/>
          <w:numId w:val="3"/>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and a target BAD (1 = defaulted or seriously delinquent, 0 = repaid). Data science fits into the approval process as a scoring step: the model converts an application into a probability of default, the bank converts that probability into approve / refer / decline using a threshold set from the cost of the two possible errors, and an explanation layer turns the decision into reasons. The work therefore covers exploring and cleaning the data, training a linear model (Logistic Regression) and non-linear models (Decision Tree, bagged trees, Random Forest), tuning them with cross-validation, choosing the final model and its threshold on a business-cost criterion, and proposing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approved by the bank. The target BAD indicates whether the applicant ultimately defaulted or became seriously delinquent (1,189 cases, 19.9%). Twelve inputs were registered for each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spacing w:after="220"/>
        <w:jc w:val="center"/>
      </w:pPr>
      <w:r>
        <w:rPr>
          <w:rFonts w:ascii="Calibri" w:cs="Calibri" w:eastAsia="Calibri" w:hAnsi="Calibri"/>
          <w:i/>
          <w:iCs/>
          <w:color w:val="595959"/>
          <w:sz w:val="19"/>
          <w:szCs w:val="19"/>
        </w:rPr>
        <w:t xml:space="preserve">Table 1. The twelve applicant attributes and their missing-value rates.</w:t>
      </w:r>
    </w:p>
    <w:p>
      <w:pPr>
        <w:spacing w:after="140" w:line="276"/>
        <w:jc w:val="both"/>
      </w:pPr>
      <w:r>
        <w:rPr>
          <w:rFonts w:ascii="Calibri" w:cs="Calibri" w:eastAsia="Calibri" w:hAnsi="Calibri"/>
          <w:sz w:val="22"/>
          <w:szCs w:val="22"/>
        </w:rPr>
        <w:t xml:space="preserve">There are no duplicate rows. 44% of applications have at least one blank field, so rows cannot simply be dropped. Loan amounts range from $1,100 to $89,900 (median $16,300) and are right-skewed, as are property values and mortgage balances; the debt-to-income ratio is tightly concentrated between 29% and 39% for the middle half of applicants but contains impossible values (a maximum of 203%), and the age of the oldest credit line has an implausible maximum of 97 years. Three quarters of applicants have no derogatory report and no delinquent credit line.</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when the ratio was recorded; applicants with no property valuation defaulted 94% of the time (Figure 1). For the problem this means that an unverifiable income or collateral should be treated as a red flag, not a neutral gap, and that the models must be able to see whether a field was blank.</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Default rate when an attribute is missing versus present.</w:t>
      </w:r>
    </w:p>
    <w:p>
      <w:pPr>
        <w:spacing w:after="140" w:line="276"/>
        <w:jc w:val="both"/>
      </w:pPr>
      <w:r>
        <w:rPr>
          <w:rFonts w:ascii="Calibri" w:cs="Calibri" w:eastAsia="Calibri" w:hAnsi="Calibri"/>
          <w:b/>
          <w:bCs/>
          <w:sz w:val="22"/>
          <w:szCs w:val="22"/>
        </w:rPr>
        <w:t xml:space="preserve">Debt burden has a hard threshold, credit history protects, and small loans are not safe loans. </w:t>
      </w:r>
      <w:r>
        <w:rPr>
          <w:rFonts w:ascii="Calibri" w:cs="Calibri" w:eastAsia="Calibri" w:hAnsi="Calibri"/>
          <w:sz w:val="22"/>
          <w:szCs w:val="22"/>
        </w:rPr>
        <w:t xml:space="preserve">Between a 20% and a 40% debt-to-income ratio only 4% to 7% of applicants default; between 40% and 45% the rate is 11%;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which already suggests tree-based models will do better than a purely linear one.</w:t>
      </w:r>
    </w:p>
    <w:p>
      <w:pPr>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73% with three or more; from 14% with no delinquent credit line to 34% with one, 45% with two and 100% with six or more; and from 16% with no recent credit inquiry to about 45-50% with five or more (Figure 3). Each of these is a plain-language reason an applicant can be given.</w:t>
      </w:r>
    </w:p>
    <w:p>
      <w:pPr>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w:t>
      </w:r>
      <w:r>
        <w:rPr>
          <w:rFonts w:ascii="Calibri" w:cs="Calibri" w:eastAsia="Calibri" w:hAnsi="Calibri"/>
          <w:sz w:val="22"/>
          <w:szCs w:val="22"/>
        </w:rPr>
        <w:t xml:space="preserve">Sales (35%) and self-employed (30%) applicants default most, office workers (13%) and professionals (17%) least; home-improvement loans default slightly more often than debt-consolidation loans (22% vs 19%). Both relationships are statistically significant (chi-square tests, p = 0.005 for loan purpose, p &lt; 0.001 for occupation), but loan purpose is too weak to drive decisions, and occupation must be handled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4"/>
        </w:numPr>
        <w:spacing w:after="90" w:line="264"/>
      </w:pPr>
      <w:r>
        <w:rPr>
          <w:rFonts w:ascii="Calibri" w:cs="Calibri" w:eastAsia="Calibri" w:hAnsi="Calibri"/>
          <w:b/>
          <w:bCs/>
          <w:sz w:val="22"/>
          <w:szCs w:val="22"/>
        </w:rPr>
        <w:t xml:space="preserve">Test set held out first. </w:t>
      </w:r>
      <w:r>
        <w:rPr>
          <w:rFonts w:ascii="Calibri" w:cs="Calibri" w:eastAsia="Calibri" w:hAnsi="Calibri"/>
          <w:sz w:val="22"/>
          <w:szCs w:val="22"/>
        </w:rPr>
        <w:t xml:space="preserve">A stratified 30% of applicants (1,788, including 357 defaulters) was set aside before any statistic was fitted, so that outlier fences, imputation values and scaling never see the test rows.</w:t>
      </w:r>
    </w:p>
    <w:p>
      <w:pPr>
        <w:pStyle w:val="ListParagraph"/>
        <w:numPr>
          <w:ilvl w:val="0"/>
          <w:numId w:val="4"/>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A 0/1 'was missing' flag was created for each of the eleven columns with gaps, then numerical gaps were filled with the training-row median and categorical gaps with the training-row mode. No rows were dropped.</w:t>
      </w:r>
    </w:p>
    <w:p>
      <w:pPr>
        <w:pStyle w:val="ListParagraph"/>
        <w:numPr>
          <w:ilvl w:val="0"/>
          <w:numId w:val="4"/>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continuous variables were capped at the inter-quartile whiskers computed on the training rows (which removes the impossible debt-to-income and credit-age values) and the two count variables at their 99th percentile, because their inter-quartile range is zero. Tree models use the untouched values, since they split on rank order and would otherwise lose information such as 'above 50% always defaults'.</w:t>
      </w:r>
    </w:p>
    <w:p>
      <w:pPr>
        <w:pStyle w:val="ListParagraph"/>
        <w:numPr>
          <w:ilvl w:val="0"/>
          <w:numId w:val="4"/>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Loan purpose and occupation were one-hot encoded (first level dropped); the continuous inputs were standardised for the logistic regression only, leaving the flags as 0/1 so their coefficients read as the effect of the flag.</w:t>
      </w:r>
    </w:p>
    <w:p>
      <w:pPr>
        <w:pStyle w:val="ListParagraph"/>
        <w:numPr>
          <w:ilvl w:val="0"/>
          <w:numId w:val="4"/>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The 1:4 class imbalance was handled with class weights inside the models rather than by resampling, so every real applicant is kept.</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most of the principal plus collection costs: with defaulted loans averaging $16,900 and about half recovered through collateral, roughly $9,000. Declining an applicant who would have repaid costs the interest margin on one customer, roughly $2,000. The primary metric is therefore recall on the default class (the share of future defaulters the model flags). Because recall alone rewards flagging everyone, precision (the share of flagged applicants who really default) and F1 are tracked as guard-rails, accuracy is reported for completeness, and ROC-AUC measures how well applicants are ranked by risk, which matters when the threshold is moved. Individual models were tuned by cross-validated grid search optimising recall; the final model and its threshold were then chosen on the expected cost of the two errors, estimated with out-of-fold predictions on the training rows, so that precision is priced in explicitly.</w:t>
      </w:r>
    </w:p>
    <w:p>
      <w:pPr>
        <w:pStyle w:val="Heading2"/>
        <w:keepNext/>
        <w:spacing w:after="120" w:before="240"/>
      </w:pPr>
      <w:r>
        <w:rPr>
          <w:rFonts w:ascii="Calibri" w:cs="Calibri" w:eastAsia="Calibri" w:hAnsi="Calibri"/>
          <w:b/>
          <w:bCs/>
          <w:color w:val="1E2761"/>
          <w:sz w:val="25"/>
          <w:szCs w:val="25"/>
        </w:rPr>
        <w:t xml:space="preserve">Models built and what each one taught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800"/>
        <w:gridCol w:w="34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Accurate overall but biased to the majority class: it misses 43% of defaulters because 80% of applicants repay.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confirm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Memorises the training data (100% on train, depth 28, 366 leaves). Even so its test recall beats the plain linear model, showing that splits capture the thresholds.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customer per defaulter caught. Its first splits read as business rules: ratio missing (62% default), ratio above 44% (77%), delinquent lines, credit-history length.</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variance reduction in action. Class-weighting the base trees does not raise recall, because each fully grown tree still fits its sample perfectly.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the forest is conservative: it still misses almost a third of defaulters.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the best balance at the conventional threshold.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picks larger leaves and balanced weights; it generalises with a smaller train-test gap but buys little extra recall with a lot of precision, which is why the final selection uses expected cost rather than recall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Dropping occupation, loan purpose and nine minor flags changes performance by about a point at the 0.5 threshold; whether it holds at the cost-optimal threshold is tested in the selection step.</w:t>
            </w:r>
          </w:p>
        </w:tc>
      </w:tr>
    </w:tbl>
    <w:p>
      <w:pPr>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All techniques agree: the debt-to-income ratio and whether it was recorded, the number of delinquent credit lines and derogatory reports, and the length of the credit history are the main drivers; loan, property and mortgage amounts matter in combination; occupation and loan purpose add little on their own. The agreement between a linear model, a single tree and ensembles is the strongest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4.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customer, so the bank should prefer models that catch defaulters, but only while the number of good customers declined stays proportionate. Accuracy would reward approving everyone (80% accurate and useless); recall alone would reward declining everyone. Recall first, precision second, and expected cost to settle the trade-off is the ordering that follows from the business.</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cut-off (82%) but with the lowest precision (53%); bagging shows that averaging alone lifts precision to 83%; the class-weighted forest reaches 77% recall at 77% precision with a ROC-AUC of 0.96, the best balance.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Fully transparent (one coefficient per attribute, odds ratios can be quoted); trivial to run;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Under-fits threshold effects on the raw inputs; at the same recall declines many more good customers;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readable rule list; captures thresholds;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Unstable between re-trainings; lowest precision when tuned for recall;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Large variance reduction; robust; strong precision and ranking</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 rule list; class weights do not move its recall; superseded by the forest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Best balance of recall and precision; best ranking quality; robust; explained through importances, a surrogate tree and per-applicant reason codes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Not a rule list on its own; perceived as a black box; needs model-risk documentation and drift monitoring</w:t>
            </w:r>
          </w:p>
        </w:tc>
      </w:tr>
    </w:tbl>
    <w:p>
      <w:pPr>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the first improvement is already applied below: choosing the operating threshold on expected cost rather than at 0.5 moves the forest's recall above 90% at a controlled precision cost. Further gains are expected from engineered features such as a loan-to-value ratio and a payment-to-income measure (which would also help the linear model), from gradient boosting and probability calibration, and from reject inference, because the data only covers loans the bank approved and the models have never seen the applicants the old process declined.</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Four forest candidates (the class-weighted and the recall-tuned forest, each on all 27 inputs and on the 12-input subset) were compared on the expected cost of credit errors, estimated with 5-fold out-of-fold predictions on the training rows, each at its own cost-minimising threshold. The test set played no part in the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class weights 0.2/0.8,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$315,000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$486,000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class weights 0.2/0.8,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$371,000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recall-tuned,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$505,000</w:t>
            </w:r>
          </w:p>
        </w:tc>
      </w:tr>
    </w:tbl>
    <w:p>
      <w:pPr>
        <w:spacing w:after="220"/>
        <w:jc w:val="center"/>
      </w:pPr>
      <w:r>
        <w:rPr>
          <w:rFonts w:ascii="Calibri" w:cs="Calibri" w:eastAsia="Calibri" w:hAnsi="Calibri"/>
          <w:i/>
          <w:iCs/>
          <w:color w:val="595959"/>
          <w:sz w:val="19"/>
          <w:szCs w:val="19"/>
        </w:rPr>
        <w:t xml:space="preserve">Table 4. Out-of-fold selection of the final model (training rows only). Costs assume $9,000 per missed defaulter and $2,000 per wrongly declined customer.</w:t>
      </w:r>
    </w:p>
    <w:p>
      <w:pPr>
        <w:spacing w:after="140" w:line="276"/>
        <w:jc w:val="both"/>
      </w:pPr>
      <w:r>
        <w:rPr>
          <w:rFonts w:ascii="Calibri" w:cs="Calibri" w:eastAsia="Calibri" w:hAnsi="Calibri"/>
          <w:sz w:val="22"/>
          <w:szCs w:val="22"/>
        </w:rPr>
        <w:t xml:space="preserve">The class-weighted forest on all 27 inputs has the lowest expected cost. The recall-tuned grid winner costs about 50% more once precision is priced in, confirming that recall-only tuning over-shoots; the 12-input versions cost about a sixth more than their 27-input counterparts, so occupation, loan purpose and the minor flags do add value at the cost-optimal operating point. The cost-minimising threshold is 0.25 and stays at 0.25 for any cost ratio between 3:1 and 6:1 (Figure 5).</w:t>
      </w:r>
    </w:p>
    <w:p>
      <w:pPr>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5. Recall, precision and indicative expected cost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164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1,267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5. Decisions of the proposed model at the 0.25 threshold: 92.7% of defaulters caught, 66.9% precision, 89.4% accuracy, ROC-AUC 0.96. At the conventional 0.5 threshold the same model gives 77.3% recall and 76.9% precision.</w:t>
      </w:r>
    </w:p>
    <w:p>
      <w:pPr>
        <w:spacing w:after="140" w:line="276"/>
        <w:jc w:val="both"/>
      </w:pPr>
      <w:r>
        <w:rPr>
          <w:rFonts w:ascii="Calibri" w:cs="Calibri" w:eastAsia="Calibri" w:hAnsi="Calibri"/>
          <w:sz w:val="22"/>
          <w:szCs w:val="22"/>
        </w:rPr>
        <w:t xml:space="preserve">Per 1,000 applicants the model flags about 185 of 200 defaulters before the money leaves the bank, misses about 15 and declines or refers about 92 customers who would have repaid. Under the indicative costs this cuts default-related cost from roughly $1.8 million per 1,000 applicants (today: all approved, 20% default) to about $0.3 million, a reduction of more than 80%. Out-of-fold and test results agree within two points, which is the evidence that the selection did not over-fit.</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sz w:val="22"/>
          <w:szCs w:val="22"/>
        </w:rPr>
        <w:t xml:space="preserve">The forest is the best performer but cannot be read as a rule list, and the ECOA requires a specific reason for each adverse decision. The proposal resolves the trade-off with a surrogate decision tree: a four-level tree fitted to the forest's own flag/clear decisions on the training rows, which reproduces 90% of the forest's decisions on unseen applicants. Its rules are the same drivers the analysis found throughout: is the debt-to-income ratio missing; if recorded, is it above about 44%; how many delinquent credit lines; how long is the credit history; what is the loan size and job tenure. For each applicant the production system should also report the top risk drivers from the forest itself, so that the roughly 10% of decisions the surrogate does not reproduce still carry a specific reason. Figure 6 shows what the forest relies on: the debt-to-income ratio, its missing flag, delinquent lines and credit-history length together carry about half of its decision power, and permutation importance ranks the same four at the top.</w:t>
      </w:r>
    </w:p>
    <w:p>
      <w:pPr>
        <w:spacing w:after="60" w:before="120"/>
        <w:jc w:val="center"/>
      </w:pPr>
      <w:r>
        <w:drawing>
          <wp:inline distT="0" distB="0" distL="0" distR="0">
            <wp:extent cx="5391150" cy="27336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6.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trees, class weights {repaid: 0.2, default: 0.8}, all 27 inputs; median/mode imputation learned on training rows plus a missing flag per field; no outlier capping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0.25 (cost-minimising on out-of-fold predictions, stable for cost ratios 3:1 to 6:1, to be re-derived with the bank's own loss and margin figures); approve / refer / decline bands keep an underwriter in the loop around the threshold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Depth-4 surrogate decision tree (90% agreement with the forest) for adverse-action reasons, plus per-applicant top risk drivers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on 12 inputs without occupation and loan purpose, if the fair-lending review requires it (about a sixth more expected credit-error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or with two or more delinquent lines or derogatory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Lowest expected cost of credit errors, chosen without the test set and confirmed on it (93% recall, 67% precision); robust (hundreds of averaged trees, out-of-fold and test agree, threshold insensitive to cost assumptions); interpretable through the surrogate tree and reason codes; deployable on fields the underwriting process already captures</w:t>
            </w:r>
          </w:p>
        </w:tc>
      </w:tr>
    </w:tbl>
    <w:p>
      <w:pPr>
        <w:spacing w:after="120"/>
      </w:pP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have not seen the applicants the old process declined; a shadow period on all applications and reject inference are planned. The cost assumptions are indicative and will be replaced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e0f309bacf5276e7c6539e5ba2e7620084fbd5c.png"/><Relationship Id="rId9" Type="http://schemas.openxmlformats.org/officeDocument/2006/relationships/image" Target="media/6e84cff58be6b4fed705ae7a46f9551417642c4f.png"/><Relationship Id="rId10" Type="http://schemas.openxmlformats.org/officeDocument/2006/relationships/image" Target="media/a30d2151907577916ee74daef8311d7cf9b378ae.png"/><Relationship Id="rId11" Type="http://schemas.openxmlformats.org/officeDocument/2006/relationships/image" Target="media/5d7f3f6686ee658f76964422c767685ed43d3550.png"/><Relationship Id="rId12" Type="http://schemas.openxmlformats.org/officeDocument/2006/relationships/image" Target="media/35f843a9f73a9f0af1809e963feeb936e7ff960b.png"/><Relationship Id="rId13" Type="http://schemas.openxmlformats.org/officeDocument/2006/relationships/image" Target="media/7829e0412310ae87c9cf4d12e86fdc9cb2386e1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2026-10-25T19:50:22.853Z</dcterms:created>
  <dcterms:modified xsi:type="dcterms:W3CDTF">2026-10-25T19:50:22.853Z</dcterms:modified>
</cp:coreProperties>
</file>

<file path=docProps/custom.xml><?xml version="1.0" encoding="utf-8"?>
<Properties xmlns="http://schemas.openxmlformats.org/officeDocument/2006/custom-properties" xmlns:vt="http://schemas.openxmlformats.org/officeDocument/2006/docPropsVTypes"/>
</file>