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least (13%). At the conventional decision threshold, removing occupation and loan purpose from the forest changes its performance by about a point; at the cost-optimal threshold they add a measurable gain, so they are kept subject to the fair-lending review, with a 12-input model without them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The Random Forest scored 0.96 on risk-ranking quality (ROC-AUC, where 1.0 means every defaulter is ranked above every repayer) against 0.91 for logistic regression, and at a similar share of defaulters caught it declined far fewer good customers. The final model's configuration (class weights, tree size, input set) and its decision threshold were chosen together on the training data alone (repeated out-of-fold expected cost, under a rule fixed in advance) and confirmed once on the held-out applicants.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(the configuration search showed that once the decision threshold is chosen on cost, class weights add nothing), scikit-learn defaults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in the order the pipeline produces them: the 10 financial attributes (LOAN, MORTDUE, VALUE, YOJ, DEROG, DELINQ, CLAGE, NINQ, CLNO, DEBTINC), a 0/1 missing-value flag for each of the 11 fields with gaps (MORTDUE, VALUE, REASON, JOB, YOJ, DEROG, DELINQ, CLAGE, NINQ, CLNO, DEBTINC) and six 0/1 indicators from one-hot encoding (REASON = HomeImp; JOB = Office, Other, ProfExe, Sales, Self). Fallback if the fair-lending review requires it: the same forest on 12 inputs (the ten attributes plus the DEBTINC and VALUE missing flags), about a fifth more expected credit-error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for categorical gaps, both learned on the training rows;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as likely default when predicted probability &gt; 0.15. The threshold minimises the indicative expected cost of credit errors on repeated out-of-fold predictions of the training rows; it is unchanged for cost ratios between 3:1 and 6:1 and agrees with the theoretical break-even for the stated costs ($2,000 / $11,000 = 0.18) to within the search step.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depth-4 surrogate decision tree fitted to the forest's own decisions, which reproduces 90% of them on unseen applicants; its rules on debt-to-income (missing or above about 45%), delinquent credit lines, credit-history length and derogatory reports supply the adverse-action reasons required under the Equal Credit Opportunity Act, complemented by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default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held out before any pre-processing statistic was fitted; grid searches by 3- and 5-fold stratified cross-validation; the final model's configuration and its threshold selected by repeated 5-fold out-of-fold expected cost on the training rows (three splits, 15 validation folds) under a rule fixed in advance; the test set scored once</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calibrate: </w:t>
      </w:r>
      <w:r>
        <w:rPr>
          <w:rFonts w:ascii="Calibri" w:cs="Calibri" w:eastAsia="Calibri" w:hAnsi="Calibri"/>
          <w:sz w:val="22"/>
          <w:szCs w:val="22"/>
        </w:rPr>
        <w:t xml:space="preserve">the head of consumer credit approves the three-band policy (approve / refer / decline); finance supplies actual loss-given-default and margin figures so the 0.15 threshold can be confirmed.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and property-valuation verification mandatory fields, since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and complete a fair-lending review before switching it on.</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and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the proposed model is expected to catch about 185 of the 200 defaulters, miss about 15, and decline about 87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 bagged ensemble of trees and a random forest were trained on the same 70/30 stratified split, tuned with cross-validated grid search optimising recall, and evaluated on the held-out 30%. Building up from one tree to bagging to a forest makes the contribution of each idea visible.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and ROC-AUC from 0.81 to 0.95. The class-weighted forest adds feature sub-sampling and class weights, catches 77% at 77% precision and ranks applicants by risk among the most accurately of all models (ROC-AUC 0.96), which is what makes the next step possible.</w:t>
      </w:r>
    </w:p>
    <w:p>
      <w:pPr>
        <w:spacing w:after="140" w:line="276"/>
        <w:jc w:val="both"/>
      </w:pPr>
      <w:r>
        <w:rPr>
          <w:rFonts w:ascii="Calibri" w:cs="Calibri" w:eastAsia="Calibri" w:hAnsi="Calibri"/>
          <w:b/>
          <w:bCs/>
          <w:sz w:val="22"/>
          <w:szCs w:val="22"/>
        </w:rPr>
        <w:t xml:space="preserve">The final model and its threshold were chosen on the training data, from business cost rather than convention. </w:t>
      </w:r>
      <w:r>
        <w:rPr>
          <w:rFonts w:ascii="Calibri" w:cs="Calibri" w:eastAsia="Calibri" w:hAnsi="Calibri"/>
          <w:sz w:val="22"/>
          <w:szCs w:val="22"/>
        </w:rPr>
        <w:t xml:space="preserve">Class weights and the decision threshold are two dials for the same trade-off, so they were chosen together. Ten forest configurations (five class-weight settings, with fully grown trees or at least 10 applicants per leaf) and then four final candidates (the winning configuration and the recall-tuned forest, each on all 27 inputs and on a 12-input subset) were compared on the expected cost of credit errors, estimated with repeated 5-fold out-of-fold predictions on the training rows (15 validation folds), each at its own cost-minimising threshold, under a rule fixed in advance: lowest mean cost, and the simplest configuration among those within one standard error of it. Fully grown trees beat constrained trees for every weighting. Among them the class weights made no material difference (the unweighted, 0.3/0.7 and 0.2/0.8 forests were within one standard error of each other, at thresholds of 0.15, 0.20 and 0.25), so the unweighted forest on all 27 inputs was selected; the recall-tuned grid winner cost about half again as much once precision is priced in, and the 12-input forest about a fifth more. The cost-minimising threshold is 0.15, unchanged for any cost ratio between 3:1 and 6:1 and in line with the theoretical break-even of 0.18 for the stated costs. Scored once on the held-out applicants at that threshold, the forest catches 93% of defaulters at 68% precision, against 69% and 84% at the conventional 0.5; out-of-fold and test results agree within a few points, so the selection did not over-fit.</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measured on out-of-fold predictions of the training rows (the test set played no part in the choice).</w:t>
      </w:r>
    </w:p>
    <w:p>
      <w:pPr>
        <w:spacing w:after="140" w:line="276"/>
        <w:jc w:val="both"/>
      </w:pPr>
      <w:r>
        <w:rPr>
          <w:rFonts w:ascii="Calibri" w:cs="Calibri" w:eastAsia="Calibri" w:hAnsi="Calibri"/>
          <w:b/>
          <w:bCs/>
          <w:sz w:val="22"/>
          <w:szCs w:val="22"/>
        </w:rPr>
        <w:t xml:space="preserve">Interpretability is provided by a surrogate decision tree that follows the forest. </w:t>
      </w:r>
      <w:r>
        <w:rPr>
          <w:rFonts w:ascii="Calibri" w:cs="Calibri" w:eastAsia="Calibri" w:hAnsi="Calibri"/>
          <w:sz w:val="22"/>
          <w:szCs w:val="22"/>
        </w:rPr>
        <w:t xml:space="preserve">A forest of 200 trees cannot be read as a rule list, so a four-level decision tree was fitted to the forest's own decisions (flag or clear at the 0.15 threshold) rather than to the original labels. It reproduces 90% of the forest's decisions on unseen applicants, and its rules are the same drivers the analysis found throughout: is the debt-to-income ratio missing; if recorded, is it above about 45%; are there two or more delinquent credit lines; how long is the credit history; are there derogatory reports. Those rules supply the adverse-action reasons; the forest's feature importances (Figure 3) and per-applicant top risk drivers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the final Random Forest relies on most (impurity-based importance). The debt-to-income ratio, its missing-value flag, the number of delinquent credit lines and the age of the credit history together carry about half of the model's decision power;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87 of every 1,000 applicants would be declined or referred although they would have repaid. This is the price of catching defaulters; it is far lower than the single decision tree's 145 and can be reduced further by routing borderline cases to a human underwriter instead of declining them outright.</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Clear approvals and clear declines can be automated; underwriters focus on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integrated into the existing underwriting workflow, with the probability threshold of 0.15 as the initial setting and a three-band outcome: approve (predicted default probability below about 0.10), refer to an underwriter (0.10 to 0.25) and decline (above 0.25). The bands keep a human in the loop where the model is least certain.</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with two or more delinquent credit lines, or with two or more major derogatory reports. These rules are transparent, easy to communicate and consistent with the model.</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the surrogate tree's rules (which reproduce 90% of the forest's decisions) and the applicant's top risk drivers from the forest, and store them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Calibrate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re-derive the threshold on out-of-fold predictions before go-live. The analysis shows the optimum stays at 0.15 for any cost ratio between 3:1 and 6:1, so this step refines rather than changes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including applications the current process declines (the training data contains only approved loans), compare outcomes, and test approval and error rates across protected groups. If the review requires occupation to be excluded, switch to the 12-input fallback model.</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calibrate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and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Defaulted loans averaged $16,900 in the data; with about half recovered through the collateral, a missed defaulter costs about $9,000. A wrongly declined good customer costs about $2,000 in forgone net interest margin and acquisition spend. Model performance in production equals test-set performance (93% of defaulters caught, 68% precision at threshold 0.15), on an applicant population like the one the current process 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slip through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Re-train after the verification rule is in place; monitor the share of missing fields.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and some flags could act as proxies for protected characteristics.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Disparate-impact testing before launch and annually; switch to the 12-input fallback (no occupation, loan purpose or minor flags)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0.15 means exactly a 15% chance of default (the unweighted forest's scores already behave like default rates, since its cost-minimising cut-off sits close to the theoretical break-even),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held-out applicants: 92.7% of defaulters caught; 68.1% of flagged applicants were real defaulters; 89.9% of all decisions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d7f3f6686ee658f76964422c767685ed43d3550.png"/><Relationship Id="rId9" Type="http://schemas.openxmlformats.org/officeDocument/2006/relationships/image" Target="media/03f665afad7625c5d885bcc5350ce78b830e3328.png"/><Relationship Id="rId10" Type="http://schemas.openxmlformats.org/officeDocument/2006/relationships/image" Target="media/2859bd45241af0be06825993a923bd124e1f6004.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2026-10-25T21:01:30.197Z</dcterms:created>
  <dcterms:modified xsi:type="dcterms:W3CDTF">2026-10-25T21:01:30.197Z</dcterms:modified>
</cp:coreProperties>
</file>

<file path=docProps/custom.xml><?xml version="1.0" encoding="utf-8"?>
<Properties xmlns="http://schemas.openxmlformats.org/officeDocument/2006/custom-properties" xmlns:vt="http://schemas.openxmlformats.org/officeDocument/2006/docPropsVTypes"/>
</file>