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and the single biggest threat to that profit is the borrower who does not pay back: every loan that turns into a non-performing asset wipes out the interest earned on many good loans. Today the approval decision is made by an underwriter's manual study of each application. That process is slow, expensive, inconsistent between underwriters and open to human error and bias, and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all of them approved by the current process. Those loans averaged about $16,900, so roughly $20 million of principal was put at risk and, with about half recovered through the collateral, roughly $10 million was lost on this book alone. Every ten defaulters avoided saves about $85,000; every good customer wrongly turned away costs only the interest margin on one loan, a few thousand dollars at most.</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(1) cuts credit losses by stopping likely defaulters at the door, (2) protects revenue by not declining good customers unnecessarily, (3) speeds up and standardises decisions so underwriters spend their time on the genuinely uncertain cases, and (4) gives the bank documented, consistent reasons for every decision, which is both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 client is likely to default on a home equity loan, and give the bank recommendations on which applicant attributes matter most when approving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identified at application time (recall on the default class), because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customers acceptable (precision), so that risk reduction does not come at the price of lost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 rejection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so the bank can tighten its approval rules and data collection even before a model is deployed.</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missing information be treated?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rejecting good customers?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and a target BAD (1 = defaulted or seriously delinquent, 0 = repaid). Data science fits into the approval process as a scoring step: the model converts an application into a probability of default, the bank converts that probability into approve / refer / decline using a threshold set from the cost of the two possible errors, and an explanation layer turns the decision into reasons. The work therefore covers exploring and cleaning the data, training a linear model (Logistic Regression) and non-linear models (Decision Tree, bagged trees, Random Forest), tuning them with cross-validation, choosing the final model and its threshold on a business-cost criterion, and proposing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approved by the bank. The target BAD indicates whether the applicant ultimately defaulted or became seriously delinquent (1,189 cases, 19.9%). Twelve inputs were registered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rows cannot simply be dropped. Loan amounts range from $1,100 to $89,900 (median $16,300) and are right-skewed, as are property values and mortgage balances; the debt-to-income ratio is tightly concentrated between 29% and 39% for the middle half of applicants but contains impossible values (a maximum of 203%), and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when the ratio was recorded; applicants with no property valuation defaulted 94% of the time (Figure 1). For the problem this means that an unverifiable income or collateral should be treated as a red flag, not a neutral gap, and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and small loans are not safe loans. </w:t>
      </w:r>
      <w:r>
        <w:rPr>
          <w:rFonts w:ascii="Calibri" w:cs="Calibri" w:eastAsia="Calibri" w:hAnsi="Calibri"/>
          <w:sz w:val="22"/>
          <w:szCs w:val="22"/>
        </w:rPr>
        <w:t xml:space="preserve">Between a 20% and a 40% debt-to-income ratio only 4% to 7% of applicants default; between 40% and 45% the rate is 11%;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which already suggests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from 14% with no delinquent credit line to 34% with one, 45% with two and 100% with six or more; and from 16% with no recent credit inquiry to about 45-50% with five or more (Figure 3). Each of these is a plain-language reason an applicant can be given.</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w:t>
      </w:r>
      <w:r>
        <w:rPr>
          <w:rFonts w:ascii="Calibri" w:cs="Calibri" w:eastAsia="Calibri" w:hAnsi="Calibri"/>
          <w:sz w:val="22"/>
          <w:szCs w:val="22"/>
        </w:rPr>
        <w:t xml:space="preserve">Sales (35%) and self-employed (30%) applicants default most, office workers (13%) and professionals (17%) least; home-improvement loans default slightly more often than debt-consolidation loans (22% vs 19%). Both relationships are statistically significant (chi-square tests, p = 0.005 for loan purpose, p &lt; 0.001 for occupation), but loan purpose is too weak to drive decisions, and occupation must be handled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held out first. </w:t>
      </w:r>
      <w:r>
        <w:rPr>
          <w:rFonts w:ascii="Calibri" w:cs="Calibri" w:eastAsia="Calibri" w:hAnsi="Calibri"/>
          <w:sz w:val="22"/>
          <w:szCs w:val="22"/>
        </w:rPr>
        <w:t xml:space="preserve">A stratified 30% of applicants (1,788, including 357 defaulters) was set aside before any statistic was fitted, so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A 0/1 'was missing' flag was created for each of the eleven columns with gaps, then numerical gaps were filled with the training-row median and categorical gaps with the training-row mode. No rows were dropped.</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continuous variables were capped at the inter-quartile whiskers computed on the training rows (which removes the impossible debt-to-income and credit-age values) and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Loan purpose and occupation were one-hot encoded (first level dropped); the continuous inputs were standardised for the logistic regression only, leaving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The 1:4 class imbalance was handled inside the models (class weights while building the individual models, the decision threshold in the final selection) rather than by resampling, so every real applicant is kept.</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with defaulted loans averaging $16,900 and about half recovered through collateral, roughly $9,000. Declining an applicant who would have repaid costs the interest margin on one customer, roughly $2,000. The primary metric is therefore recall on the default class (the share of future defaulters the model flags). Because recall alone rewards flagging everyone, precision (the share of flagged applicants who really default) and F1 are tracked as guard-rails, accuracy is reported for completeness, and ROC-AUC measures how well applicants are ranked by risk, which matters when the threshold is moved. Individual models were tuned by cross-validated grid search optimising recall; the final model's configuration and its threshold were then chosen on the expected cost of the two errors, estimated with repeated out-of-fold predictions on the training rows, so that precision is priced in explicitly.</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confirm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customer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the forest is conservative: it still misses almost a third of defaulters.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picks larger leaves and balanced weights; it generalises with a smaller train-test gap but buys little extra recall with a lot of precision, which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Dropping occupation, loan purpose and nine minor flags changes performance by about a point at the 0.5 threshold; whether it holds at the cost-optimal threshold is tested in the selection step.</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the debt-to-income ratio and whether it was recorded, the number of delinquent credit lines and derogatory reports, and the length of the credit history are the main drivers; loan, property and mortgage amounts matter in combination; occupation and loan purpose add little on their own. The agreement between a linear model, a single tree and ensembles is the strongest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customer, so the bank should prefer models that catch defaulters, but only while the number of good customers declined stays proportionate. Accuracy would reward approving everyone (80% accurate and useless); recall alone would reward declining everyone. Recall first, precision second, and expected cost to settle the trade-off is the ordering that follows from the business.</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cut-off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Fully transparent (one coefficient per attribute, odds ratios can be quoted); trivial to run;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Under-fits threshold effects on the raw inputs; at the same recall declines many more good customers;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readable rule list; captures thresholds;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Unstable between re-trainings; lowest precision when tuned for recall;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Large variance reduction; robust; strong precision and ranking</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 rule list; class weights do not move its recall; superseded by the forest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Best balance of recall and precision; best ranking quality; robust; explained through importances, a surrogate tree and per-applicant reason codes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Not a rule list on its own; perceived as a black box;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the first improvement is already applied below: choosing the operating threshold on expected cost rather than at 0.5 moves the forest's recall above 90% at a controlled precision cost. Further gains are expected from engineered features such as a loan-to-value ratio and a payment-to-income measure (which would also help the linear model), from gradient boosting and probability calibration, and from reject inference, because the data only covers loans the bank approved and the models have never seen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so they were chosen together and on the business criterion, with a rule fixed before the search: the candidate with the lowest mean out-of-fold expected cost wins, and among candidates within one fold-to-fold standard error of it the simplest is preferred. Every candidate was scored with repeated 5-fold out-of-fold predictions on the training rows (three different splits, 15 validation folds) and judged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customer.</w:t>
      </w:r>
    </w:p>
    <w:p>
      <w:pPr>
        <w:spacing w:after="140" w:line="276"/>
        <w:jc w:val="both"/>
      </w:pPr>
      <w:r>
        <w:rPr>
          <w:rFonts w:ascii="Calibri" w:cs="Calibri" w:eastAsia="Calibri" w:hAnsi="Calibri"/>
          <w:sz w:val="22"/>
          <w:szCs w:val="22"/>
        </w:rPr>
        <w:t xml:space="preserve">Fully grown trees beat constrained trees by a wide margin for every weighting: the leaf size of 10 that the recall-only grid search chose makes the probabilities cruder, which costs dearly once the threshold is free to move. Among the fully grown forests the class weights barely matter: the unweighted, 0.3/0.7 and 0.2/0.8 forests lie within one standard error (about $10,500) of each other and simply reach their minimum at different thresholds (0.15, 0.20 and 0.25). By the pre-stated rule the unweighted forest went forward as the simplest configuration with the lowest mean cost; its score also keeps its natural meaning as an estimated default rate. Stage 2 pitted it against the recall-tuned grid winner, each on all 27 inputs and on the 12-input subset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$513,000</w:t>
            </w:r>
          </w:p>
        </w:tc>
      </w:tr>
    </w:tbl>
    <w:p>
      <w:pPr>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sz w:val="22"/>
          <w:szCs w:val="22"/>
        </w:rPr>
        <w:t xml:space="preserve">The unweighted forest on all 27 inputs has the lowest expected cost. The recall-tuned grid winner costs about half again as much once precision is priced in, confirming that recall-only tuning over-shoots; the 12-input version costs about a fifth more, well outside one standard error, so occupation, loan purpose and the minor flags do add value at the cost-optimal operating point and the simpler model is not chosen. The cost-minimising threshold is 0.15 (flag every applicant whose estimated default probability exceeds 15%); it stays at 0.15 for any cost ratio between 3:1 and 6:1 (Figure 5) and agrees with the theoretical break-even for a calibrated score at the stated costs, $2,000 / $11,000 = 0.18. The final pipeline is written out step by step in the notebook, with the exact 27 input columns, the training-row imputation values and the model settings, so that every input to the scoring model is explicit.</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Recall, precision and indicative expected cost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misses about 15 and declines or refers about 87 customers who would have repaid. Under the indicative costs this cuts default-related cost from roughly $1.8 million per 1,000 applicants (today: all approved, 20% default) to about $0.3 million, a reduction of about 83%. Out-of-fold and test results agree within a few points (recall 93% vs 94%, precision 68% vs 65%), which is the evidence that the selection did not over-fit.</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is the best performer but cannot be read as a rule list, and the ECOA requires a specific reason for each adverse decision. The proposal resolves the trade-off with a surrogate decision tree: a four-level tree fitted to the forest's own flag/clear decisions on the training rows, which reproduces 90% of the forest's decisions on unseen applicants. Its rules are the same drivers the analysis found throughout: is the debt-to-income ratio missing; if recorded, is it above about 45%; are there two or more delinquent credit lines; how long is the credit history; are there derogatory reports. For each applicant the production system should also report the top risk drivers from the forest itself, so that the roughly 10% of decisions the surrogate does not reproduce still carry a specific reason. Figure 6 shows what the forest relies on: the debt-to-income ratio, its missing flag, delinquent lines and credit-history length together carry about half of its decision power, and permutation importance ranks the same four at the top.</w:t>
      </w:r>
    </w:p>
    <w:p>
      <w:pPr>
        <w:spacing w:after="60" w:before="120"/>
        <w:jc w:val="center"/>
      </w:pPr>
      <w:r>
        <w:drawing>
          <wp:inline distT="0" distB="0" distL="0" distR="0">
            <wp:extent cx="5391150" cy="27336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they add nothing once the threshold is chosen on cost), all 27 inputs: the 10 financial attributes (LOAN, MORTDUE, VALUE, YOJ, DEROG, DELINQ, CLAGE, NINQ, CLNO, DEBTINC), a 0/1 missing-value flag for each of the 11 fields with gaps (MORTDUE, VALUE, REASON, JOB, YOJ, DEROG, DELINQ, CLAGE, NINQ, CLNO, DEBTINC) and six 0/1 indicators from one-hot encoding (REASON = HomeImp;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(cost-minimising on repeated out-of-fold predictions, stable for cost ratios 3:1 to 6:1, equal to the theoretical break-even of 0.18 within the search step, to be re-derived with the bank's own loss and margin figures); approve / refer / decline bands keep an underwriter in the loop around the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Depth-4 surrogate decision tree (90% agreement with the forest) for adverse-action reasons, plus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12 inputs without occupation and loan purpose, if the fair-lending review requires it (about a fifth more expected credit-error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or with two or more delinquent lines or derogatory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Lowest expected cost of credit errors among ten configurations and four final candidates, chosen under a pre-stated rule without the test set and confirmed on it (93% recall, 68% precision); robust (hundreds of averaged trees, out-of-fold and test agree, threshold insensitive to cost assumptions); interpretable through the surrogate tree and reason codes;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have not seen the applicants the old process declined; a shadow period on all applications and reject inference are planned. The cost assumptions are indicative and will be replaced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5d7f3f6686ee658f76964422c767685ed43d3550.png"/><Relationship Id="rId12" Type="http://schemas.openxmlformats.org/officeDocument/2006/relationships/image" Target="media/03f665afad7625c5d885bcc5350ce78b830e3328.png"/><Relationship Id="rId13" Type="http://schemas.openxmlformats.org/officeDocument/2006/relationships/image" Target="media/2859bd45241af0be06825993a923bd124e1f600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2026-10-25T20:58:58.167Z</dcterms:created>
  <dcterms:modified xsi:type="dcterms:W3CDTF">2026-10-25T20:58:58.167Z</dcterms:modified>
</cp:coreProperties>
</file>

<file path=docProps/custom.xml><?xml version="1.0" encoding="utf-8"?>
<Properties xmlns="http://schemas.openxmlformats.org/officeDocument/2006/custom-properties" xmlns:vt="http://schemas.openxmlformats.org/officeDocument/2006/docPropsVTypes"/>
</file>