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standard settings otherwise. Extra weight for defaulters in training made no measurable difference once we chose the decision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First, the 10 financial attributes (LOAN, MORTDUE, VALUE, YOJ, DEROG, DELINQ, CLAGE, NINQ, CLNO, DEBTINC). Second, a 0/1 missing-value flag for each of the 11 fields with gaps (every attribute except LOAN).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major derogatory report. These rules give the plain-language summary of how the model decides. Each adverse-action notice that the Equal Credit Opportunity Act requires gives the applicant's own top risk drivers from the forest (for example SHAP values). The bank builds these drivers in months 0-2,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settings and threshold on the expected cost of out-of-fold mistakes (three rounds of 5-fold cross-validation on the training rows). A rule fixed in advance decided the choice. Robustness checks: a finer threshold grid, two other splits, a calibration table. We scored the test set once.</w:t>
            </w:r>
          </w:p>
        </w:tc>
      </w:tr>
    </w:tbl>
    <w:p>
      <w:pPr>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87 creditworthy applicants. Under the approve / refer / decline bands, the bank declines about 62 creditworthy applicants per 1,000 automatically and refers about 55 to an underwriter.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each model with cross-validated grid search that optimises recall and evaluated each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w:t>
      </w:r>
    </w:p>
    <w:p>
      <w:pPr>
        <w:spacing w:after="140" w:line="276"/>
        <w:jc w:val="both"/>
      </w:pPr>
      <w:r>
        <w:rPr>
          <w:rFonts w:ascii="Calibri" w:cs="Calibri" w:eastAsia="Calibri" w:hAnsi="Calibri"/>
          <w:sz w:val="22"/>
          <w:szCs w:val="22"/>
        </w:rPr>
        <w:t xml:space="preserve">Fully grown trees beat limited trees for every weighting. Among them, the weightings made no measurable difference. The unweighted, 0.3/0.7 and 0.2/0.8 forests were within that noise of each other, at thresholds of 0.15, 0.20 and 0.25. So we chose the unweighted forest on all 27 inputs. When precision also carries a cost, the recall-tuned grid winner cost about half again as much. The forest without occupation cost about 10% more. The 12-input forest cost about a fifth more. We scored the balanced logistic regression and the recall-tuned decision tree the same way, at their own best thresholds. They cost about $550,000 and $607,000 per 1,000 applicants, against $317,000 for the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2).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spacing w:after="60" w:before="120"/>
        <w:jc w:val="center"/>
      </w:pPr>
      <w:r>
        <w:drawing>
          <wp:inline distT="0" distB="0" distL="0" distR="0">
            <wp:extent cx="5848350" cy="3857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57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give the plain-language summary of how the model decides. The forest's feature importances (Figure 3) show what drives the score overall. For each decline, the adverse-action notice gives the applicant's own top risk drivers from the forest. The bank builds these drivers (for example SHAP values) in months 0-2.</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87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62 creditworthy applicants per 1,000 automatically and refers about 55.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together carry about half of the model's decision power. They are the debt-to-income ratio, its missing-value flag, the number of delinquent credit lines and the age of the credit history.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83% of defaulters at 80%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months 0-2,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months 0-2.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the cost-minimising threshold would move to 0.20. At 0.20, the out-of-fold data shows about 90% recall and 83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68%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months 0-2).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months 0-2)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71a1dc284b918868e8fa7c37953109adcd1c91c.png"/><Relationship Id="rId9" Type="http://schemas.openxmlformats.org/officeDocument/2006/relationships/image" Target="media/a1903e965bc6c6cff9af3c6238cc3735d527e2a7.png"/><Relationship Id="rId10" Type="http://schemas.openxmlformats.org/officeDocument/2006/relationships/image" Target="media/2859bd45241af0be06825993a923bd124e1f6004.png"/><Relationship Id="rId11" Type="http://schemas.openxmlformats.org/officeDocument/2006/relationships/image" Target="media/c6d711608a321557841fdd75852a8eac0f1a2079.png"/><Relationship Id="rId12" Type="http://schemas.openxmlformats.org/officeDocument/2006/relationships/image" Target="media/9d0212ee4f9e8b05ec8dcfe9d021ae200624c43b.png"/><Relationship Id="rId13" Type="http://schemas.openxmlformats.org/officeDocument/2006/relationships/image" Target="media/a4d792f4979225dd709817e65f3040b4c2d2c712.png"/><Relationship Id="rId14" Type="http://schemas.openxmlformats.org/officeDocument/2006/relationships/image" Target="media/047f2018e09592adca4fdbd956604db88681a41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2026-10-26T04:05:55.938Z</dcterms:created>
  <dcterms:modified xsi:type="dcterms:W3CDTF">2026-10-26T04:05:55.938Z</dcterms:modified>
</cp:coreProperties>
</file>

<file path=docProps/custom.xml><?xml version="1.0" encoding="utf-8"?>
<Properties xmlns="http://schemas.openxmlformats.org/officeDocument/2006/custom-properties" xmlns:vt="http://schemas.openxmlformats.org/officeDocument/2006/docPropsVTypes"/>
</file>