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bank recovered about half through the collateral, so it lost roughly $10 million on this book alone. Every ten defaulters avoided saves about $90,000 (at the $9,000 per defaulter used throughout).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dataset records twelve inputs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and are right-skewed, as are property values and mortgage balances. The debt-to-income ratio is tightly concentrated between 29% and 39% for the middle half of applicants but contains impossible values (a maximum of 203%).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about 45-50% with five or more (Figure 3). Each of these is a plain-language reason that the bank can give an applicant.</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w:t>
      </w:r>
      <w:r>
        <w:rPr>
          <w:rFonts w:ascii="Calibri" w:cs="Calibri" w:eastAsia="Calibri" w:hAnsi="Calibri"/>
          <w:sz w:val="22"/>
          <w:szCs w:val="22"/>
        </w:rPr>
        <w:t xml:space="preserve">Sales (35%) and self-employed (30%) applicants default most. Office workers (13%) and professionals (17%) default least. Home-improvement loans default slightly more often than debt-consolidation loans (22% vs 19%). Both relationships are statistically significant (chi-square tests, p = 0.005 for loan purpose, p &lt; 0.001 for occupation). However, loan purpose is too weak to drive decisions, and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continuous variables at the inter-quartile whiskers computed on the training rows. This removes the impossible debt-to-income and credit-age values. For the same model, we also capped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Defaulted loans averaged $16,900 and the bank recovered about half through collateral, so a missed defaulter costs roughly $9,000. Declining an applicant who would have repaid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each individual model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on the following points.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 surrogate tree and per-applicant reason codes explain it.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and it is perceived as a black box. It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loan-to-value ratio and a payment-to-income measure, which would also help the linear model. We also expect gains from gradient boosting, probability calibration and reject inference. Reject inference matters because the data only covers loans the bank approved, so the models never saw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in the notebook.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 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 The cost-minimising threshold is 0.15 (flag every applicant whose score exceeds 0.15, an estimated default risk of roughly one in five). It stays at 0.15 for any cost ratio between 3:1 and 6:1 (see the notebook's cost-ratio table). Figure 5 shows the curves at the 4.5:1 costs. It also stays there on a finer 0.01 grid, and when we repeat the whole configuration search on two other 70/30 splits. It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We write the final pipeline step by step in the notebook, with the exact 27 input columns, the training-row imputation values and the model settings. This makes every input to the scoring model explicit.</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Recall, precision and indicative expected cost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It misses about 15 and declines or refers about 87 applicants who would have repaid. Under the indicative costs this cuts default-related cost from roughly $1.8 million per 1,000 applicants (today: all approved, 20% default) to about $0.3 million. That is a reduction of about 83%. Out-of-fold and test results are consistent (recall 93% vs 94%, precision 68% vs 65%, cost $304,000 ± $28,000 vs $317,000 per 1,000). The choice between the closely matched configurations rests on the out-of-fold comparison. A single test evaluation is too noisy to adjudicate that choice. Overall the model flags about 27% of applicants, an approval rate of about 73% on a population the bank approves in full today. At the 0.5 threshold it flags 16%. The model wrongly flags about 11% of creditworthy applicants at 0.15 against 3% at 0.5, which is the price of the recall. The approve / refer / decline bands at 0.10 and 0.25 would approve about 69% of applications automatically (about 1% of them defaulted). They would send about 7% to an underwriter (about one in four defaulted). They would decline about 24% (74% defaulted, 87% of all defaulters). Two thirds of all defaulters sit in the fifth of applicants with no recorded debt-to-income ratio, a group the model flags almost entirely (96%). On applicants with a recorded ratio it flags 9% and catches 83% of their defaulters at 80% precision. This is the better guide to its behaviour once income verification is mandatory and we re-train the model.</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 For each applicant the production system should also report the top risk drivers from the forest itself. Then the roughly 7% of decisions the surrogate does not reproduce still carry a specific reason. Automatic declines above the 0.25 band edge take their primary reason from those drivers, with the surrogate rule as the plain-language summary. Figure 6 shows what the forest relies on. The debt-to-income ratio, its missing flag, delinquent lines and credit-history length together carry about half of its decision power. Permutation importance ranks the same four at the top.</w:t>
      </w:r>
    </w:p>
    <w:p>
      <w:pPr>
        <w:spacing w:after="60" w:before="120"/>
        <w:jc w:val="center"/>
      </w:pPr>
      <w:r>
        <w:drawing>
          <wp:inline distT="0" distB="0" distL="0" distR="0">
            <wp:extent cx="5391150" cy="2733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make no measurable difference once we choose the threshold on cost.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(93% agreement with the forest on unseen applicants), gives adverse-action reasons. The explanation layer also reports the top risk drivers for each applicant.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Hard rules take precedence over the score.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fifteen configurations and five final candidates.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reason codes. It is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We plan a shadow period on all applications and reject inference.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a99d5d117d3ee3cf21819ae0a5b6e581f506cc8f.png"/><Relationship Id="rId12" Type="http://schemas.openxmlformats.org/officeDocument/2006/relationships/image" Target="media/55bcf89b9bf51829c991f11112f9962525bdda3d.png"/><Relationship Id="rId13" Type="http://schemas.openxmlformats.org/officeDocument/2006/relationships/image" Target="media/2859bd45241af0be06825993a923bd124e1f600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2026-10-26T02:18:25.310Z</dcterms:created>
  <dcterms:modified xsi:type="dcterms:W3CDTF">2026-10-26T02:18:25.311Z</dcterms:modified>
</cp:coreProperties>
</file>

<file path=docProps/custom.xml><?xml version="1.0" encoding="utf-8"?>
<Properties xmlns="http://schemas.openxmlformats.org/officeDocument/2006/custom-properties" xmlns:vt="http://schemas.openxmlformats.org/officeDocument/2006/docPropsVTypes"/>
</file>