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If the bank recovers about half of each defaulted loan through the collateral,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flags an applicant when the score is above 0.15. On 1,788 unseen applicants, it caught 92.7% of defaulters at 68.1%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refer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'no record found' stored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keepNext/>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Sales (35%) and self-employed (30%) applicants default most. Office workers (13%) and professionals (17%) default least. Debt consolidation is 69% of the stated loan purposes. 'Other' is the largest occupation group (42% of stated occupations). Sales (109 applicants) and self-employed (193 applicants) are small groups, so we read their default rates with care.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and would otherwise lose information such as 'above 50% always defaults'.</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receives a missing-value flag for each field with gaps, which covers fact 3.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decision threshold on expected cost. On repeated out-of-fold predictions of the training rows, the default forest caught 71.4% of defaulters at 82.5% precision with the 0.5 threshold. With the 0.15 threshold it caught 93.7% at 64.7% precision. The cost per 1,000 applicants fell from about $575,000 to about $317,000, which is 45%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the main drivers.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It costs about $317,000 per 1,000 applicants, against $550,000 for the logistic regression and $607,000 for the tuned tree. It wins because it ranks applicants best (ROC-AUC 0.96), so a lower threshold catches more defaulters without a large loss of precision.</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Per-applicant risk drivers (for example SHAP values) are a build item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10%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make up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69%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w:t>
      </w:r>
    </w:p>
    <w:p>
      <w:pPr>
        <w:spacing w:after="140" w:line="276"/>
        <w:jc w:val="both"/>
      </w:pPr>
      <w:r>
        <w:rPr>
          <w:rFonts w:ascii="Calibri" w:cs="Calibri" w:eastAsia="Calibri" w:hAnsi="Calibri"/>
          <w:b/>
          <w:bCs/>
          <w:sz w:val="22"/>
          <w:szCs w:val="22"/>
        </w:rPr>
        <w:t xml:space="preserve">Simpler models cost more. </w:t>
      </w:r>
      <w:r>
        <w:rPr>
          <w:rFonts w:ascii="Calibri" w:cs="Calibri" w:eastAsia="Calibri" w:hAnsi="Calibri"/>
          <w:sz w:val="22"/>
          <w:szCs w:val="22"/>
        </w:rPr>
        <w:t xml:space="preserve">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any cost ratio between 3:1 and 6:1. It moves to 0.20 at 2:1, and to 0.10 at 8:1 or more. Figure 6 shows the curves at the 4.5:1 costs. The threshold also stays at 0.15 on a finer 0.01 grid. We repeated the class-weight search for fully grown trees on two other 70/30 splits. The unweighted forest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Table 7 lists the 27 inputs and the model settings. We fill blanks with the training-row medians and modes, for example 34.84% for the debt-to-income ratio, DebtCon for loan purpose and Other for occupation.</w:t>
      </w:r>
    </w:p>
    <w:p>
      <w:pPr>
        <w:keepNext/>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87.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68% vs 65%, cost $304,000 ± $28,000 vs $317,000). One test evaluation is too noisy to choose between the close configurations,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24% defaulted). It would decline about 24% (74% defaulted, 87% of all defaulters). It declines about 62 creditworthy applicants automatically and refers about 55.</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87%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two thirds of all defaulters have no recorded debt-to-income ratio, and the model flags 96% of that group. On applicants with a recorded ratio, it flags 9% and catches 83% of their defaulters at 80%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7 shows the inputs that the forest relies on most. The debt-to-income ratio, its missing flag, delinquent lines and credit-history length together carry about half of its decision power. Permutation importance ranks the same four at the top.</w:t>
      </w:r>
    </w:p>
    <w:p>
      <w:pPr>
        <w:keepNext/>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add nothing once we choose the threshold on cost. The 0.3/0.7 and 0.2/0.8 weightings lie within one standard error of the unweighted forest. The balanced and 0.1/0.9 weightings cost about $13,000 and $27,000 more per 1,000 applicants.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 All performance figures are for the 0.15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the fifteen forest configurations (Table 4) and the seven final candidates (Table 5).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68.1% precision (ROC-AUC 0.96). This agrees with the out-of-fold estimate (recall 94%, precision 65%).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and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21-input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and refit it if necessary. On the test set it catches 83% of their defaulters at 80%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period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9d0212ee4f9e8b05ec8dcfe9d021ae200624c43b.png"/><Relationship Id="rId10" Type="http://schemas.openxmlformats.org/officeDocument/2006/relationships/image" Target="media/a4d792f4979225dd709817e65f3040b4c2d2c712.png"/><Relationship Id="rId11" Type="http://schemas.openxmlformats.org/officeDocument/2006/relationships/image" Target="media/047f2018e09592adca4fdbd956604db88681a419.png"/><Relationship Id="rId12" Type="http://schemas.openxmlformats.org/officeDocument/2006/relationships/image" Target="media/371a1dc284b918868e8fa7c37953109adcd1c91c.png"/><Relationship Id="rId13" Type="http://schemas.openxmlformats.org/officeDocument/2006/relationships/image" Target="media/a1903e965bc6c6cff9af3c6238cc3735d527e2a7.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2026-10-29T00:13:02.591Z</dcterms:created>
  <dcterms:modified xsi:type="dcterms:W3CDTF">2026-10-29T00:13:02.591Z</dcterms:modified>
</cp:coreProperties>
</file>

<file path=docProps/custom.xml><?xml version="1.0" encoding="utf-8"?>
<Properties xmlns="http://schemas.openxmlformats.org/officeDocument/2006/custom-properties" xmlns:vt="http://schemas.openxmlformats.org/officeDocument/2006/docPropsVTypes"/>
</file>