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least (13%). At the conventional decision threshold, removing occupation and loan purpose from the forest changes its performance by about a point; at the cost-optimal threshold they add a measurable gain, so they are kept subject to the fair-lending review, with a 12-input model without them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 class-weighted Random Forest scored 0.96 on risk-ranking quality (ROC-AUC, where 1.0 means every defaulter is ranked above every repayer) against 0.91 for logistic regression, and at a similar share of defaulters caught it declined far fewer good customers. The final model and its decision threshold were chosen on the training data alone (out-of-fold expected cost) and confirmed once on the held-out applicants.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trees, class weights {repaid: 0.2, default: 0.8}, scikit-learn defaults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the 10 financial attributes (LOAN, MORTDUE, VALUE, YOJ, DEROG, DELINQ, CLAGE, NINQ, CLNO, DEBTINC), a missing-value flag for each of the 11 fields with gaps, and the occupation and loan-purpose indicators. Fallback if the fair-lending review requires it: the same forest on 12 inputs, without occupation, loan purpose and nine of the eleven missing flags (about a sixth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for categorical gaps, both learned on the training rows;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0.25. The threshold minimises the indicative expected cost of credit errors on out-of-fold predictions of the training rows; it is unchanged for cost ratios between 3:1 and 6:1.</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depth-4 surrogate decision tree fitted to the forest's own decisions, which reproduces 90% of them on unseen applicants; its rules on debt-to-income (missing or above about 44%), delinquent credit lines, credit-history length, loan size and job tenure supply the adverse-action reasons required under the Equal Credit Opportunity Act, complemented by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66.9% precision, 89.4% accuracy, risk-ranking quality (ROC-AUC) 0.96. At the default 0.5 threshold the same model gives 77.3% recall, 76.9%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held out before any pre-processing statistic was fitted; grid searches by 3- and 5-fold stratified cross-validation; the final model and its threshold selected by 5-fold out-of-fold expected cost on the training rows; the test set scored once</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calibrate: </w:t>
      </w:r>
      <w:r>
        <w:rPr>
          <w:rFonts w:ascii="Calibri" w:cs="Calibri" w:eastAsia="Calibri" w:hAnsi="Calibri"/>
          <w:sz w:val="22"/>
          <w:szCs w:val="22"/>
        </w:rPr>
        <w:t xml:space="preserve">the head of consumer credit approves the three-band policy (approve / refer / decline); finance supplies actual loss-given-default and margin figures so the 0.25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185 of the 200 defaulters, miss about 15, and decline about 92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more than 80%.</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RF (class weights), threshold 0.25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class-weighted forest adds feature sub-sampling and class weights, catches 77% at 77% precision and ranks applicants by risk among the most accurately of all models (ROC-AUC 0.96), which is what makes the next step possible.</w:t>
      </w:r>
    </w:p>
    <w:p>
      <w:pPr>
        <w:spacing w:after="140" w:line="276"/>
        <w:jc w:val="both"/>
      </w:pPr>
      <w:r>
        <w:rPr>
          <w:rFonts w:ascii="Calibri" w:cs="Calibri" w:eastAsia="Calibri" w:hAnsi="Calibri"/>
          <w:b/>
          <w:bCs/>
          <w:sz w:val="22"/>
          <w:szCs w:val="22"/>
        </w:rPr>
        <w:t xml:space="preserve">The final model and its threshold were chosen on the training data, from business cost rather than convention. </w:t>
      </w:r>
      <w:r>
        <w:rPr>
          <w:rFonts w:ascii="Calibri" w:cs="Calibri" w:eastAsia="Calibri" w:hAnsi="Calibri"/>
          <w:sz w:val="22"/>
          <w:szCs w:val="22"/>
        </w:rPr>
        <w:t xml:space="preserve">Four forest candidates (the class-weighted and the recall-tuned forest, each on all 27 inputs and on a 12-input subset) were compared on the expected cost of credit errors, estimated with out-of-fold predictions on the training rows, each at its own cost-minimising threshold. The class-weighted forest on all 27 inputs had the lowest cost, the recall-tuned grid winner about 50% more once precision is priced in. Its cost-minimising threshold is 0.25, unchanged for any cost ratio between 3:1 and 6:1. Scored once on the held-out applicants at that threshold, it catches 93% of defaulters at 67% precision, against 77% and 77% at the conventional 0.5; out-of-fold and test results agree within two points, so the selection did not over-fit.</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measured on out-of-fold predictions of the training rows (the test set played no part in the choice).</w:t>
      </w:r>
    </w:p>
    <w:p>
      <w:pPr>
        <w:spacing w:after="140" w:line="276"/>
        <w:jc w:val="both"/>
      </w:pPr>
      <w:r>
        <w:rPr>
          <w:rFonts w:ascii="Calibri" w:cs="Calibri" w:eastAsia="Calibri" w:hAnsi="Calibri"/>
          <w:b/>
          <w:bCs/>
          <w:sz w:val="22"/>
          <w:szCs w:val="22"/>
        </w:rPr>
        <w:t xml:space="preserve">Interpretability is provided by a surrogate decision tree that follows the forest. </w:t>
      </w:r>
      <w:r>
        <w:rPr>
          <w:rFonts w:ascii="Calibri" w:cs="Calibri" w:eastAsia="Calibri" w:hAnsi="Calibri"/>
          <w:sz w:val="22"/>
          <w:szCs w:val="22"/>
        </w:rPr>
        <w:t xml:space="preserve">A forest of 200 trees cannot be read as a rule list, so a four-level decision tree was fitted to the forest's own decisions (flag or clear at the 0.25 threshold) rather than to the original labels. It reproduces 90% of the forest's decisions on unseen applicants, and its rules are the same drivers the analysis found throughout: is the debt-to-income ratio missing; if recorded, is it above about 44%; how many delinquent credit lines; how long is the credit history; how many years in the current job. Those rules supply the adverse-action reasons; the forest's feature importances (Figure 3) and per-applicant top risk drivers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final Random Forest relies on most (impurity-based importance). The debt-to-income ratio, its missing-value flag, the number of delinquent credit lines and the age of the credit history together carry about half of the model's decision power;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92 of every 1,000 applicants would be declined or referred although they would have repaid. This is the price of catching defaulters; it is far lower than the single decision tree's 145 and can be reduced further by routing borderline cases to a human underwriter instead of declining them outright.</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Clear approvals and clear declines can be automated; underwriters focus on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class-weighted Random Forest as a decision-support score, </w:t>
      </w:r>
      <w:r>
        <w:rPr>
          <w:rFonts w:ascii="Calibri" w:cs="Calibri" w:eastAsia="Calibri" w:hAnsi="Calibri"/>
          <w:sz w:val="22"/>
          <w:szCs w:val="22"/>
        </w:rPr>
        <w:t xml:space="preserve">integrated into the existing underwriting workflow, with the probability threshold of 0.25 as the initial setting and a three-band outcome: approve (probability below about 0.15), refer to an underwriter (0.15 to 0.40) and decline (above 0.40). The bands keep a human in the loop where the model is least certain.</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with two or more delinquent credit lines, or with two or more major derogatory reports. These rules are transparent, easy to communicate and consistent with the model.</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the surrogate tree's rules (which reproduce 90% of the forest's decisions) and the applicant's top risk drivers from the forest, and store them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Calibrate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re-derive the threshold on out-of-fold predictions before go-live. The analysis shows the optimum stays at 0.25 for any cost ratio between 3:1 and 6:1, so this step refines rather than changes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including applications the current process declines (the training data contains only approved loans), compare outcomes, and test approval and error rates across protected groups. If the review requires occupation to be excluded, switch to the 12-input fallback model.</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0.25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calibrate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and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Defaulted loans averaged $16,900 in the data; with about half recovered through the collateral, a missed defaulter costs about $9,000. A wrongly declined good customer costs about $2,000 in forgone net interest margin and acquisition spend. Model performance in production equals test-set performance (93% of defaulters caught, 67% precision at threshold 0.25), on an applicant population like the one the current process 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slip through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550 (92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Re-train after the verification rule is in place; monitor the share of missing fields.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and some flags could act as proxies for protected characteristics.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Disparate-impact testing before launch and annually; switch to the 12-input fallback (no occupation, loan purpose or minor flags)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0.25 means a 25% chance of default,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164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1,267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(class-weighted Random Forest, threshold 0.25) on the held-out applicants: 92.7% of defaulters caught; 66.9% of flagged applicants were real defaulters; 89.4%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d7f3f6686ee658f76964422c767685ed43d3550.png"/><Relationship Id="rId9" Type="http://schemas.openxmlformats.org/officeDocument/2006/relationships/image" Target="media/35f843a9f73a9f0af1809e963feeb936e7ff960b.png"/><Relationship Id="rId10" Type="http://schemas.openxmlformats.org/officeDocument/2006/relationships/image" Target="media/7829e0412310ae87c9cf4d12e86fdc9cb2386e1d.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2026-10-25T20:07:22.940Z</dcterms:created>
  <dcterms:modified xsi:type="dcterms:W3CDTF">2026-10-25T20:07:22.942Z</dcterms:modified>
</cp:coreProperties>
</file>

<file path=docProps/custom.xml><?xml version="1.0" encoding="utf-8"?>
<Properties xmlns="http://schemas.openxmlformats.org/officeDocument/2006/custom-properties" xmlns:vt="http://schemas.openxmlformats.org/officeDocument/2006/docPropsVTypes"/>
</file>