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recall-tuned forest changes its performance by about a point. At the cost-optimal threshold, removing occupation from the final model's inputs raises the expected cost of credit errors by about 13%. We therefore keep occupation, subject to the fair-lending review, with a 16-input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That rule removed five minor missing flags, so the final model uses 22 of the 27 prepared inputs.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4 of the 22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22 model inputs of three kinds. First, the 10 financial attributes (LOAN, MORTDUE, VALUE, YOJ, DEROG, DELINQ, CLAGE, NINQ, CLNO, DEBTINC). Second, six 0/1 missing-value flags, for VALUE, REASON, JOB, YOJ, DEROG and DEBTINC. Third, six 0/1 indicators from one-hot encoding: one for REASON = HomeImp and five for JOB = Office, Other, ProfExe, Sales, Self. Stage 2 of the selection removed the missing flags of MORTDUE, DELINQ, CLAGE, NINQ and CLNO. Its rule keeps the smallest input set whose out-of-fold cost (averaged over three forest seeds) is within one standard error of the lowest cost. Fallback if the fair-lending review requires it: the same forest without any occupation information. This removes the five occupation indicators and the occupation-missing flag, leaving 16 inputs. Its expected cost of credit errors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six of the imputed fields (see Inputs),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from 4.5:1 to 8:1 and on a finer grid. It sits just below the textbook break-even for the stated costs ($2,000 / $11,000 = 0.18). The reason is that the forest's scores understate risk in the decision range (applicants scored 0.15 to 0.20 defaulted about 28%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credit history of about 93 months or less.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67.4% precision, 89.6% accuracy, risk-ranking quality (ROC-AUC) 0.96. At the conventional 0.5 threshold the same model gives 67.8% recall, 82.9%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model in three stages: class weights and leaf size, then the input set, then a final comparison of eight candidates. Each stage used the expected cost of out-of-fold mistakes (three rounds of 5-fold cross-validation on the training rows). A rule fixed in advance decided each choice. Stage 3 checked the 22-input forest against all 27 inputs and kept it.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90 creditworthy applicants. Under the approve / refer / decline bands, the bank declines about 64 creditworthy applicants per 1,000 automatically and refers about 58 to an underwriter.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all 27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22 inputs,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The selection had three stages, each with a rule that we fixed beforehand. Stage 1 scored fifteen forest configurations on all 27 inputs, each at its own cost-minimising threshold. They were five weightings, each with fully grown trees or with trees limited to at least 5 or 10 applicants per leaf. Stage 2 reduced the input set of the chosen forest. Stage 3 compared five final forest candidates and three other techniques. In each stage, the lowest average cost wins. When several candidates are within one standard error of the lowest cost, the simplest wins (fewest non-default settings, then fewest inputs). One standard error measures the run-to-run noise of the estimate (about $10,500 per 1,000 applicants in Stages 1 and 3).</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Stage 1 chose the unweighted forest with fully grown trees.</w:t>
      </w:r>
    </w:p>
    <w:p>
      <w:pPr>
        <w:spacing w:after="140" w:line="276"/>
        <w:jc w:val="both"/>
      </w:pPr>
      <w:r>
        <w:rPr>
          <w:rFonts w:ascii="Calibri" w:cs="Calibri" w:eastAsia="Calibri" w:hAnsi="Calibri"/>
          <w:sz w:val="22"/>
          <w:szCs w:val="22"/>
        </w:rPr>
        <w:t xml:space="preserve">Stage 2 is the counterpart of choosing how many principal components to keep. We ranked the inputs by the chosen forest's importance and removed the weakest input first. We removed the six occupation columns and the two loan-purpose columns only as whole groups. We scored each input set on the same folds with three forest seeds and averaged the cost (Figure 2). Three seeds are necessary because the randomness of a single forest moves the cost by about one standard error. The rule keeps the smallest input set whose cost is within one standard error (about $9,700) of the lowest cost on this curve. It kept 22 inputs: the 10 financial attributes, the six one-hot indicators and the missing flags of VALUE, REASON, JOB, YOJ, DEROG and DEBTINC. It removed the missing flags of MORTDUE, DELINQ, CLAGE, NINQ and CLNO. Together these five flags carry about 2% of the model's decision power. With 21 inputs the cost leaves the band, and it rises at every later step.</w:t>
      </w:r>
    </w:p>
    <w:p>
      <w:pPr>
        <w:keepNext/>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Indicative expected cost per 1,000 applicants as Stage 2 removes the weakest inputs first. Each point is the mean out-of-fold cost over three forest seeds on the training rows. The shaded band ends one standard error above the lowest cost. The rule keeps the smallest input set inside the band (22 inputs).</w:t>
      </w:r>
    </w:p>
    <w:p>
      <w:pPr>
        <w:spacing w:after="140" w:line="276"/>
        <w:jc w:val="both"/>
      </w:pPr>
      <w:r>
        <w:rPr>
          <w:rFonts w:ascii="Calibri" w:cs="Calibri" w:eastAsia="Calibri" w:hAnsi="Calibri"/>
          <w:sz w:val="22"/>
          <w:szCs w:val="22"/>
        </w:rPr>
        <w:t xml:space="preserve">Stage 3 compared five forest candidates at their own best thresholds. Three were the chosen forest on the 22 selected inputs, on all 27 inputs and on 16 inputs without occupation. The other two were the recall-tuned forest on 27 and 12 inputs. The 12-input set keeps only the 10 financial attributes and the DEBTINC and VALUE missing flags. The forest on all 27 inputs had the lowest cost, about $317,000 per 1,000 applicants. The 22-input forest cost about $324,000, within one standard error, so the rule chose it as the simpler model. Averaged over three seeds, the two input sets differ by only about $1,100. Stage 3 therefore checked the 22-input forest against all 27 inputs and kept it. The forest without occupation cost about 13% more. When precision also carries a cost, the recall-tuned grid winner cost about half again as much. We scored the bagged trees, the balanced logistic regression and the recall-tuned decision tree the same way, at their own best thresholds. They cost about $390,000, $550,000 and $607,000 per 1,000 applicants, against $324,000 for the selected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3). It sits just below the textbook break-even of 0.18 for a perfectly calibrated score. The reason is that the forest's scores rank applicants well but understate risk in the decision range. Applicants scored 0.15 to 0.20 defaulted about 28% of the time. The threshold stays at 0.15 for cost ratios from 4.5:1 to 8:1 and on a finer grid. The stated ratio of 4.5:1 sits at the lower edge of that range. On two other train/test splits, the unweighted forest on all 27 inputs also chooses 0.15. We scored the forest once on the test set at that threshold. It catches 93% of defaulters at 67% precision, against 68% and 83% at the conventional 0.5. The test result (cost about $310,000 ± $28,000 per 1,000 applicants) is consistent with the out-of-fold estimate ($324,000).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an applicant with a delinquent credit line and a credit history of about 93 months or less. Otherwise it clears the applicant. Those rules give the plain-language summary of how the model decides. The forest's feature importances (Figure 4)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90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64 creditworthy applicants per 1,000 automatically and refers about 58.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21% and 73%.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81% of defaulters at 78%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At any recorded ratio, its surrogate flags a delinquent line together with a credit history of about 93 months or less.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cost ratios from 4.5:1 to 8:1. The stated ratio of 4.5:1 sits at the lower edge of that range. The optimum would move to 0.20 if the ratio were nearer 2:1 or 3:1.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16-input fallback model without occupation. Its expected credit-error cost is about 13%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or 3:1, the cost-minimising threshold would move to 0.20. At 0.20, the out-of-fold data shows about 90% recall and 85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67%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(97%), and mandatory verification will shrink it. On applicants with a recorded ratio, the model catches 81% of defaulters at 78%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about one in five of them defaulted. Under the bands, the share of defaulters caught lies between about 88%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540 (90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81% of defaulters at 78%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16-input fallback (no occupation information, about 13%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28%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2057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62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67.4% were real defaulters. Of all decisions, 89.6%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57fb5be3bb5902635cbb64fc5d94bf04b96d41.png"/><Relationship Id="rId9" Type="http://schemas.openxmlformats.org/officeDocument/2006/relationships/image" Target="media/32384b886a66d3854a886150fec649c3a00bdc13.png"/><Relationship Id="rId10" Type="http://schemas.openxmlformats.org/officeDocument/2006/relationships/image" Target="media/687914e7a72a24d90b1fafd7a47c7239b3527b8d.png"/><Relationship Id="rId11" Type="http://schemas.openxmlformats.org/officeDocument/2006/relationships/image" Target="media/d1ae4c9accb6c9d79270d041454313cf5cdb63e0.png"/><Relationship Id="rId12" Type="http://schemas.openxmlformats.org/officeDocument/2006/relationships/image" Target="media/c6d711608a321557841fdd75852a8eac0f1a2079.png"/><Relationship Id="rId13" Type="http://schemas.openxmlformats.org/officeDocument/2006/relationships/image" Target="media/10fbed83f1ff1fdc9f10d69d2d163ca32025200c.png"/><Relationship Id="rId14" Type="http://schemas.openxmlformats.org/officeDocument/2006/relationships/image" Target="media/c31babb0fe603f3652d40d4e30cb15ae2a07d846.png"/><Relationship Id="rId15" Type="http://schemas.openxmlformats.org/officeDocument/2006/relationships/image" Target="media/8ce5587efc04d145fbb0233d6e1c3059ebf986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2026-10-29T16:46:07.660Z</dcterms:created>
  <dcterms:modified xsi:type="dcterms:W3CDTF">2026-10-29T16:46:07.661Z</dcterms:modified>
</cp:coreProperties>
</file>

<file path=docProps/custom.xml><?xml version="1.0" encoding="utf-8"?>
<Properties xmlns="http://schemas.openxmlformats.org/officeDocument/2006/custom-properties" xmlns:vt="http://schemas.openxmlformats.org/officeDocument/2006/docPropsVTypes"/>
</file>