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360"/>
        <w:jc w:val="center"/>
      </w:pPr>
      <w:r>
        <w:rPr>
          <w:rFonts w:ascii="Calibri" w:cs="Calibri" w:eastAsia="Calibri" w:hAnsi="Calibri"/>
          <w:color w:val="595959"/>
          <w:sz w:val="22"/>
          <w:szCs w:val="22"/>
        </w:rPr>
        <w:t xml:space="preserve">Shubham Garg  |  November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E2761" w:sz="8"/>
              <w:left w:val="single" w:color="1E2761" w:sz="8"/>
              <w:bottom w:val="single" w:color="1E2761" w:sz="8"/>
              <w:right w:val="single" w:color="1E2761" w:sz="8"/>
            </w:tcBorders>
            <w:shd w:fill="E8EEF7" w:color="auto" w:val="clear"/>
            <w:tcMar>
              <w:top w:type="dxa" w:w="140"/>
              <w:left w:type="dxa" w:w="200"/>
              <w:bottom w:type="dxa" w:w="120"/>
              <w:right w:type="dxa" w:w="200"/>
            </w:tcMar>
          </w:tcPr>
          <w:p>
            <w:pPr>
              <w:spacing w:after="100"/>
            </w:pPr>
            <w:r>
              <w:rPr>
                <w:rFonts w:ascii="Calibri" w:cs="Calibri" w:eastAsia="Calibri" w:hAnsi="Calibri"/>
                <w:b/>
                <w:bCs/>
                <w:color w:val="1E2761"/>
                <w:sz w:val="24"/>
                <w:szCs w:val="24"/>
              </w:rPr>
              <w:t xml:space="preserve">Summary for the Data Science lead</w:t>
            </w:r>
          </w:p>
          <w:p>
            <w:pPr>
              <w:pStyle w:val="ListParagraph"/>
              <w:numPr>
                <w:ilvl w:val="0"/>
                <w:numId w:val="2"/>
              </w:numPr>
              <w:spacing w:after="70" w:line="252"/>
            </w:pPr>
            <w:r>
              <w:rPr>
                <w:rFonts w:ascii="Calibri" w:cs="Calibri" w:eastAsia="Calibri" w:hAnsi="Calibri"/>
                <w:b/>
                <w:bCs/>
                <w:sz w:val="20"/>
                <w:szCs w:val="20"/>
              </w:rPr>
              <w:t xml:space="preserve">Problem: </w:t>
            </w:r>
            <w:r>
              <w:rPr>
                <w:rFonts w:ascii="Calibri" w:cs="Calibri" w:eastAsia="Calibri" w:hAnsi="Calibri"/>
                <w:sz w:val="20"/>
                <w:szCs w:val="20"/>
              </w:rPr>
              <w:t xml:space="preserve">The bank approved all 5,960 loans in this book, and 1,189 (19.9%) defaulted. We assume that the bank recovers about half of each defaulted loan through the collateral. On that assumption, it lost about $10 million on this book.</w:t>
            </w:r>
          </w:p>
          <w:p>
            <w:pPr>
              <w:pStyle w:val="ListParagraph"/>
              <w:numPr>
                <w:ilvl w:val="0"/>
                <w:numId w:val="2"/>
              </w:numPr>
              <w:spacing w:after="70" w:line="252"/>
            </w:pPr>
            <w:r>
              <w:rPr>
                <w:rFonts w:ascii="Calibri" w:cs="Calibri" w:eastAsia="Calibri" w:hAnsi="Calibri"/>
                <w:b/>
                <w:bCs/>
                <w:sz w:val="20"/>
                <w:szCs w:val="20"/>
              </w:rPr>
              <w:t xml:space="preserve">Approach: </w:t>
            </w:r>
            <w:r>
              <w:rPr>
                <w:rFonts w:ascii="Calibri" w:cs="Calibri" w:eastAsia="Calibri" w:hAnsi="Calibri"/>
                <w:sz w:val="20"/>
                <w:szCs w:val="20"/>
              </w:rPr>
              <w:t xml:space="preserve">We compared logistic regression, decision trees, bagged trees and random forests. We chose the final model, its inputs and its threshold on the expected cost of errors, with cross-validation on the training rows only. We scored the test set once.</w:t>
            </w:r>
          </w:p>
          <w:p>
            <w:pPr>
              <w:pStyle w:val="ListParagraph"/>
              <w:numPr>
                <w:ilvl w:val="0"/>
                <w:numId w:val="2"/>
              </w:numPr>
              <w:spacing w:after="70" w:line="252"/>
            </w:pPr>
            <w:r>
              <w:rPr>
                <w:rFonts w:ascii="Calibri" w:cs="Calibri" w:eastAsia="Calibri" w:hAnsi="Calibri"/>
                <w:b/>
                <w:bCs/>
                <w:sz w:val="20"/>
                <w:szCs w:val="20"/>
              </w:rPr>
              <w:t xml:space="preserve">Finding 1: </w:t>
            </w:r>
            <w:r>
              <w:rPr>
                <w:rFonts w:ascii="Calibri" w:cs="Calibri" w:eastAsia="Calibri" w:hAnsi="Calibri"/>
                <w:sz w:val="20"/>
                <w:szCs w:val="20"/>
              </w:rPr>
              <w:t xml:space="preserve">A missing debt-to-income ratio is the strongest risk signal. 62% of these applicants defaulted, against 8.6% with a recorded ratio.</w:t>
            </w:r>
          </w:p>
          <w:p>
            <w:pPr>
              <w:pStyle w:val="ListParagraph"/>
              <w:numPr>
                <w:ilvl w:val="0"/>
                <w:numId w:val="2"/>
              </w:numPr>
              <w:spacing w:after="70" w:line="252"/>
            </w:pPr>
            <w:r>
              <w:rPr>
                <w:rFonts w:ascii="Calibri" w:cs="Calibri" w:eastAsia="Calibri" w:hAnsi="Calibri"/>
                <w:b/>
                <w:bCs/>
                <w:sz w:val="20"/>
                <w:szCs w:val="20"/>
              </w:rPr>
              <w:t xml:space="preserve">Finding 2: </w:t>
            </w:r>
            <w:r>
              <w:rPr>
                <w:rFonts w:ascii="Calibri" w:cs="Calibri" w:eastAsia="Calibri" w:hAnsi="Calibri"/>
                <w:sz w:val="20"/>
                <w:szCs w:val="20"/>
              </w:rPr>
              <w:t xml:space="preserve">Above a 45% debt-to-income ratio, 87% to 100% of applicants defaulted (84 applicants).</w:t>
            </w:r>
          </w:p>
          <w:p>
            <w:pPr>
              <w:pStyle w:val="ListParagraph"/>
              <w:numPr>
                <w:ilvl w:val="0"/>
                <w:numId w:val="2"/>
              </w:numPr>
              <w:spacing w:after="70" w:line="252"/>
            </w:pPr>
            <w:r>
              <w:rPr>
                <w:rFonts w:ascii="Calibri" w:cs="Calibri" w:eastAsia="Calibri" w:hAnsi="Calibri"/>
                <w:b/>
                <w:bCs/>
                <w:sz w:val="20"/>
                <w:szCs w:val="20"/>
              </w:rPr>
              <w:t xml:space="preserve">Finding 3: </w:t>
            </w:r>
            <w:r>
              <w:rPr>
                <w:rFonts w:ascii="Calibri" w:cs="Calibri" w:eastAsia="Calibri" w:hAnsi="Calibri"/>
                <w:sz w:val="20"/>
                <w:szCs w:val="20"/>
              </w:rPr>
              <w:t xml:space="preserve">With two delinquent credit lines, 45% defaulted. With two major derogatory reports, 51% defaulted.</w:t>
            </w:r>
          </w:p>
          <w:p>
            <w:pPr>
              <w:pStyle w:val="ListParagraph"/>
              <w:numPr>
                <w:ilvl w:val="0"/>
                <w:numId w:val="2"/>
              </w:numPr>
              <w:spacing w:after="70" w:line="252"/>
            </w:pPr>
            <w:r>
              <w:rPr>
                <w:rFonts w:ascii="Calibri" w:cs="Calibri" w:eastAsia="Calibri" w:hAnsi="Calibri"/>
                <w:b/>
                <w:bCs/>
                <w:sz w:val="20"/>
                <w:szCs w:val="20"/>
              </w:rPr>
              <w:t xml:space="preserve">Proposed solution: </w:t>
            </w:r>
            <w:r>
              <w:rPr>
                <w:rFonts w:ascii="Calibri" w:cs="Calibri" w:eastAsia="Calibri" w:hAnsi="Calibri"/>
                <w:sz w:val="20"/>
                <w:szCs w:val="20"/>
              </w:rPr>
              <w:t xml:space="preserve">A random forest of 200 trees on 22 inputs flags an applicant when the score is above 0.15. On 1,788 unseen applicants, it caught 92.7% of defaulters at 67.4% precision (ROC-AUC 0.96). A four-level surrogate tree reproduces 93% of its decisions and gives the plain-language rules.</w:t>
            </w:r>
          </w:p>
          <w:p>
            <w:pPr>
              <w:pStyle w:val="ListParagraph"/>
              <w:numPr>
                <w:ilvl w:val="0"/>
                <w:numId w:val="2"/>
              </w:numPr>
              <w:spacing w:after="70" w:line="252"/>
            </w:pPr>
            <w:r>
              <w:rPr>
                <w:rFonts w:ascii="Calibri" w:cs="Calibri" w:eastAsia="Calibri" w:hAnsi="Calibri"/>
                <w:b/>
                <w:bCs/>
                <w:sz w:val="20"/>
                <w:szCs w:val="20"/>
              </w:rPr>
              <w:t xml:space="preserve">Benefit: </w:t>
            </w:r>
            <w:r>
              <w:rPr>
                <w:rFonts w:ascii="Calibri" w:cs="Calibri" w:eastAsia="Calibri" w:hAnsi="Calibri"/>
                <w:sz w:val="20"/>
                <w:szCs w:val="20"/>
              </w:rPr>
              <w:t xml:space="preserve">With our cost assumptions, the cost of credit errors falls from about $1.8 million to about $0.3 million per 1,000 applicants (83% less). With approve, refer and decline bands, the bank would approve about 69% of applicants automatically. About 1% of these applicants defaulted on the test set.</w:t>
            </w:r>
          </w:p>
          <w:p>
            <w:pPr>
              <w:pStyle w:val="ListParagraph"/>
              <w:numPr>
                <w:ilvl w:val="0"/>
                <w:numId w:val="2"/>
              </w:numPr>
              <w:spacing w:after="70" w:line="252"/>
            </w:pPr>
            <w:r>
              <w:rPr>
                <w:rFonts w:ascii="Calibri" w:cs="Calibri" w:eastAsia="Calibri" w:hAnsi="Calibri"/>
                <w:b/>
                <w:bCs/>
                <w:sz w:val="20"/>
                <w:szCs w:val="20"/>
              </w:rPr>
              <w:t xml:space="preserve">Recommendations: </w:t>
            </w:r>
            <w:r>
              <w:rPr>
                <w:rFonts w:ascii="Calibri" w:cs="Calibri" w:eastAsia="Calibri" w:hAnsi="Calibri"/>
                <w:sz w:val="20"/>
                <w:szCs w:val="20"/>
              </w:rPr>
              <w:t xml:space="preserve">Make income and property-value verification mandatory. Decline or escalate applicants above a 45% debt-to-income ratio. Refer applicants with two or more delinquent lines or two or more derogatory reports. Run the model in shadow mode for one to two months, with a fairness review, before go-live.</w:t>
            </w:r>
          </w:p>
        </w:tc>
      </w:tr>
    </w:tbl>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The single biggest threat to that profit is the borrower who does not repay the loan. Every loan that becomes a non-performing asset removes the interest earned on many good loans. Today an underwriter studies each application manually and decides whether to approve it. That process is slow, expensive, inconsistent between underwriters and open to human error and bias.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The current process approved all of them. Those loans averaged about $16,900, so the bank put roughly $20 million of principal at risk. The data does not record recoveries. We assume that the bank recovers about half of each defaulted loan through the collateral. On that assumption, the bank lost roughly $10 million on this book alone. With collection costs, we assume that each missed defaulter costs about $9,000. So every ten defaulters that the model stops save about $90,000. Every good applicant wrongly declined costs only the interest margin on one loan, about $2,000.</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has four advantages. (1) It cuts credit losses by stopping likely defaulters at the door. (2) It protects revenue by not declining good applicants unnecessarily. (3) It makes decisions faster and standardises them, so underwriters spend their time on the genuinely uncertain cases. (4) It gives the bank documented, consistent reasons for every decision,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an applicant will likely default on a home equity loan. Recommend to the bank which applicant attributes matter most when it approves a loan. In priority order:</w:t>
      </w:r>
    </w:p>
    <w:p>
      <w:pPr>
        <w:pStyle w:val="ListParagraph"/>
        <w:keepNext w:val="false"/>
        <w:numPr>
          <w:ilvl w:val="0"/>
          <w:numId w:val="3"/>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that the model flags at application time (recall on the default class). A missed defaulter is the costliest error.</w:t>
      </w:r>
    </w:p>
    <w:p>
      <w:pPr>
        <w:pStyle w:val="ListParagraph"/>
        <w:keepNext w:val="false"/>
        <w:numPr>
          <w:ilvl w:val="0"/>
          <w:numId w:val="3"/>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applicants acceptable (precision), so that lower risk does not cost the bank revenue.</w:t>
      </w:r>
    </w:p>
    <w:p>
      <w:pPr>
        <w:pStyle w:val="ListParagraph"/>
        <w:keepNext w:val="false"/>
        <w:numPr>
          <w:ilvl w:val="0"/>
          <w:numId w:val="3"/>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an adverse decision is not usable in production.</w:t>
      </w:r>
    </w:p>
    <w:p>
      <w:pPr>
        <w:pStyle w:val="ListParagraph"/>
        <w:keepNext w:val="false"/>
        <w:numPr>
          <w:ilvl w:val="0"/>
          <w:numId w:val="3"/>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The bank can then tighten its approval rules and data collection, even before it deploys a model.</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keepNext w:val="false"/>
        <w:numPr>
          <w:ilvl w:val="0"/>
          <w:numId w:val="4"/>
        </w:numPr>
        <w:spacing w:after="100" w:line="264"/>
      </w:pPr>
      <w:r>
        <w:rPr>
          <w:rFonts w:ascii="Calibri" w:cs="Calibri" w:eastAsia="Calibri" w:hAnsi="Calibri"/>
          <w:sz w:val="22"/>
          <w:szCs w:val="22"/>
        </w:rPr>
        <w:t xml:space="preserve">What share of past applicants defaulted, and how imbalanced is the problem?</w:t>
      </w:r>
    </w:p>
    <w:p>
      <w:pPr>
        <w:pStyle w:val="ListParagraph"/>
        <w:keepNext w:val="false"/>
        <w:numPr>
          <w:ilvl w:val="0"/>
          <w:numId w:val="4"/>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keepNext w:val="false"/>
        <w:numPr>
          <w:ilvl w:val="0"/>
          <w:numId w:val="4"/>
        </w:numPr>
        <w:spacing w:after="100" w:line="264"/>
      </w:pPr>
      <w:r>
        <w:rPr>
          <w:rFonts w:ascii="Calibri" w:cs="Calibri" w:eastAsia="Calibri" w:hAnsi="Calibri"/>
          <w:sz w:val="22"/>
          <w:szCs w:val="22"/>
        </w:rPr>
        <w:t xml:space="preserve">How should we treat missing information? Is the absence of information itself a risk signal?</w:t>
      </w:r>
    </w:p>
    <w:p>
      <w:pPr>
        <w:pStyle w:val="ListParagraph"/>
        <w:keepNext w:val="false"/>
        <w:numPr>
          <w:ilvl w:val="0"/>
          <w:numId w:val="4"/>
        </w:numPr>
        <w:spacing w:after="100" w:line="264"/>
      </w:pPr>
      <w:r>
        <w:rPr>
          <w:rFonts w:ascii="Calibri" w:cs="Calibri" w:eastAsia="Calibri" w:hAnsi="Calibri"/>
          <w:sz w:val="22"/>
          <w:szCs w:val="22"/>
        </w:rPr>
        <w:t xml:space="preserve">Which technique (linear vs tree-based vs ensemble) gives the best trade-off between catching defaulters and wrongly declining good applicants?</w:t>
      </w:r>
    </w:p>
    <w:p>
      <w:pPr>
        <w:pStyle w:val="ListParagraph"/>
        <w:keepNext w:val="false"/>
        <w:numPr>
          <w:ilvl w:val="0"/>
          <w:numId w:val="4"/>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keepNext w:val="false"/>
        <w:numPr>
          <w:ilvl w:val="0"/>
          <w:numId w:val="4"/>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Each row also has a target BAD (1 = defaulted or seriously delinquent, 0 = repaid). Data science fits into the approval process as a scoring step. The model converts an application into a probability of default. The bank converts that probability into a flag or clear decision with a threshold set from the cost of the two possible errors. Cases in a referral band around the threshold go to an underwriter. An explanation layer converts the decision into reasons. The work therefore covers these steps. We explore and clean the data, then train a linear model (Logistic Regression) and non-linear models (Decision Tree, bagged trees, Random Forest). We tune them with cross-validation and choose the final model, its inputs and its threshold on the expected-cost criterion. We propose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that the bank approved. The target BAD indicates whether the applicant ultimately defaulted or became seriously delinquent (1,189 cases, 19.9%). The data has 5,960 rows and 13 columns. Each row is one loan. The columns are the target BAD and twelve inputs. BAD is a 0/1 integer with no missing values. Ten inputs are numeric, and four of these are counts. REASON and JOB are categorical. Table 1 gives the type and the missing-value rate of each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keepLines/>
        <w:spacing w:after="220"/>
        <w:jc w:val="center"/>
      </w:pPr>
      <w:r>
        <w:rPr>
          <w:rFonts w:ascii="Calibri" w:cs="Calibri" w:eastAsia="Calibri" w:hAnsi="Calibri"/>
          <w:i/>
          <w:iCs/>
          <w:color w:val="595959"/>
          <w:sz w:val="19"/>
          <w:szCs w:val="19"/>
        </w:rPr>
        <w:t xml:space="preserve">Table 1. The twelve applicant attributes, their data types and missing-value rates.</w:t>
      </w:r>
    </w:p>
    <w:p>
      <w:pPr>
        <w:spacing w:after="140" w:line="276"/>
        <w:jc w:val="both"/>
      </w:pPr>
      <w:r>
        <w:rPr>
          <w:rFonts w:ascii="Calibri" w:cs="Calibri" w:eastAsia="Calibri" w:hAnsi="Calibri"/>
          <w:b/>
          <w:bCs/>
          <w:sz w:val="22"/>
          <w:szCs w:val="22"/>
        </w:rPr>
        <w:t xml:space="preserve">Statistical summary. </w:t>
      </w:r>
      <w:r>
        <w:rPr>
          <w:rFonts w:ascii="Calibri" w:cs="Calibri" w:eastAsia="Calibri" w:hAnsi="Calibri"/>
          <w:sz w:val="22"/>
          <w:szCs w:val="22"/>
        </w:rPr>
        <w:t xml:space="preserve">There are no duplicate rows. 44% of applications have at least one blank field, so we cannot simply remove those rows. Loan amounts range from $1,100 to $89,900 (median $16,300). Property values range from $8,000 to $855,909 (median $89,236). Mortgage balances range from $2,063 to $399,550 (median $65,019). All three amounts are right-skewed. The median applicant has 7 years in the present job, one recent credit inquiry and 20 credit lines. The debt-to-income ratio has a median of 34.8%. It is tightly concentrated between 29% and 39% for the middle half of applicants but contains impossible values (a maximum of 203%). The age of the oldest credit line has an implausible maximum of 97 years. Among applicants with a record, 86% have no major derogatory report and 78% have no delinquent credit line.</w:t>
      </w:r>
    </w:p>
    <w:p>
      <w:pPr>
        <w:spacing w:after="140" w:line="276"/>
        <w:jc w:val="both"/>
      </w:pPr>
      <w:r>
        <w:rPr>
          <w:rFonts w:ascii="Calibri" w:cs="Calibri" w:eastAsia="Calibri" w:hAnsi="Calibri"/>
          <w:b/>
          <w:bCs/>
          <w:sz w:val="22"/>
          <w:szCs w:val="22"/>
        </w:rPr>
        <w:t xml:space="preserve">Ranges and outliers. </w:t>
      </w:r>
      <w:r>
        <w:rPr>
          <w:rFonts w:ascii="Calibri" w:cs="Calibri" w:eastAsia="Calibri" w:hAnsi="Calibri"/>
          <w:sz w:val="22"/>
          <w:szCs w:val="22"/>
        </w:rPr>
        <w:t xml:space="preserve">Box plots show outliers in almost every numeric column. Most are genuine extreme values, such as loans above about $41,000 and property values up to $855,909. We keep them for the tree models and cap them only for the linear model. Only debt-to-income ratios above 100% and credit lines older than about 50 years (600 months) look like data errors.</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for applicants with a recorded ratio. Applicants with no property valuation defaulted 94% of the time (Figure 1). For the problem this means that the bank should treat an unverifiable income or collateral as a red flag, not a neutral gap. It also means that the models must be able to see whether a field was blank. The signal does not point the same way for every field. Figure 1 shows five fields where a blank goes with a lower default rate (8% to 15%, against 20% overall). These are occupation, job tenure, derogatory reports, delinquent lines and recent inquiries. This probably shows how the bank recorded the data, for example by storing 'no record found' as a blank. A flag for each field lets the models learn both directions.</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Default rate when an attribute is missing versus present.</w:t>
      </w:r>
    </w:p>
    <w:p>
      <w:pPr>
        <w:keepNext/>
        <w:spacing w:after="60" w:before="120"/>
        <w:jc w:val="center"/>
      </w:pPr>
      <w:r>
        <w:drawing>
          <wp:inline distT="0" distB="0" distL="0" distR="0">
            <wp:extent cx="6038850" cy="2057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20574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Debt burden has a hard threshold. Credit history protects. Small loans are not safe loans. </w:t>
      </w:r>
      <w:r>
        <w:rPr>
          <w:rFonts w:ascii="Calibri" w:cs="Calibri" w:eastAsia="Calibri" w:hAnsi="Calibri"/>
          <w:sz w:val="22"/>
          <w:szCs w:val="22"/>
        </w:rPr>
        <w:t xml:space="preserve">Between a 20% and a 40% debt-to-income ratio only 4% to 7% of applicants default. Between 40% and 45% the rate is 11%, and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This already suggests that tree-based models will do better than a purely linear one.</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It rises from 14% with no delinquent credit line to 34% with one, 45% with two and 100% with six or more. It rises from 16% with no recent credit inquiry to 39% with four, and to about 46% with five or more (252 applicants, Figure 3). Each of these is a plain-language reason that the bank can give an applicant.</w:t>
      </w:r>
    </w:p>
    <w:p>
      <w:pPr>
        <w:keepNext/>
        <w:spacing w:after="60" w:before="120"/>
        <w:jc w:val="center"/>
      </w:pPr>
      <w:r>
        <w:drawing>
          <wp:inline distT="0" distB="0" distL="0" distR="0">
            <wp:extent cx="6038850" cy="1962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6215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matters on its own. </w:t>
      </w:r>
      <w:r>
        <w:rPr>
          <w:rFonts w:ascii="Calibri" w:cs="Calibri" w:eastAsia="Calibri" w:hAnsi="Calibri"/>
          <w:sz w:val="22"/>
          <w:szCs w:val="22"/>
        </w:rPr>
        <w:t xml:space="preserve">'Other' is the largest occupation group (42% of stated occupations). Sales (35%) and self-employed (30%) applicants default most. Office workers (13%) and professionals (17%) default least. Sales (109 applicants) and self-employed (193 applicants) are small groups, so we read their default rates with care. Debt consolidation is 69% of the stated loan purposes. Home-improvement loans default slightly more often than debt-consolidation loans (22% vs 19%). Both relationships are statistically significant (chi-square tests, p = 0.005 for loan purpose, p &lt; 0.001 for occupation). On its own, loan purpose is too weak to drive decisions, but it changes the risk within some occupations (see below). The bank must handle occupation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and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spacing w:after="140" w:line="276"/>
        <w:jc w:val="both"/>
      </w:pPr>
      <w:r>
        <w:rPr>
          <w:rFonts w:ascii="Calibri" w:cs="Calibri" w:eastAsia="Calibri" w:hAnsi="Calibri"/>
          <w:b/>
          <w:bCs/>
          <w:sz w:val="22"/>
          <w:szCs w:val="22"/>
        </w:rPr>
        <w:t xml:space="preserve">Risk factors combine rather than act alone. </w:t>
      </w:r>
      <w:r>
        <w:rPr>
          <w:rFonts w:ascii="Calibri" w:cs="Calibri" w:eastAsia="Calibri" w:hAnsi="Calibri"/>
          <w:sz w:val="22"/>
          <w:szCs w:val="22"/>
        </w:rPr>
        <w:t xml:space="preserve">Crossing the strongest drivers shows how they work together (Figure 4). When the debt-to-income ratio is 45% or less, delinquency still decides much of the risk. In that group, 3% to 9% defaulted with no delinquent lines, and 25% to 30% with two or more. Above 45%, 91% to 100% defaulted, whatever the number of delinquent lines. When the ratio is missing, delinquency adds risk on top: 50% defaulted with no delinquent lines and 87% with two or more. A derogatory report raises the default rate at every credit-history length, from 8% to 32% even with 20 years or more of history. When both the ratio and the property value are missing, 99% of the 81 applicants defaulted. Loan purpose, weak on its own, changes the risk within some occupations. Self-employed applicants defaulted 44% of the time on debt consolidation and 18% on home improvement. These combined effects favour tree-based models, which split on one driver inside another.</w:t>
      </w:r>
    </w:p>
    <w:p>
      <w:pPr>
        <w:keepNext/>
        <w:spacing w:after="60" w:before="120"/>
        <w:jc w:val="center"/>
      </w:pPr>
      <w:r>
        <w:drawing>
          <wp:inline distT="0" distB="0" distL="0" distR="0">
            <wp:extent cx="6038850" cy="25908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4. Default rate for pairs of variables: debt-to-income band by delinquent credit lines, and occupation by loan purpose. Each cell shows the default rate and the number of applicants.</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2"/>
        </w:numPr>
        <w:spacing w:after="90" w:line="264"/>
      </w:pPr>
      <w:r>
        <w:rPr>
          <w:rFonts w:ascii="Calibri" w:cs="Calibri" w:eastAsia="Calibri" w:hAnsi="Calibri"/>
          <w:b/>
          <w:bCs/>
          <w:sz w:val="22"/>
          <w:szCs w:val="22"/>
        </w:rPr>
        <w:t xml:space="preserve">Test set reserved first. </w:t>
      </w:r>
      <w:r>
        <w:rPr>
          <w:rFonts w:ascii="Calibri" w:cs="Calibri" w:eastAsia="Calibri" w:hAnsi="Calibri"/>
          <w:sz w:val="22"/>
          <w:szCs w:val="22"/>
        </w:rPr>
        <w:t xml:space="preserve">We reserved a stratified 30% of applicants (1,788, including 357 defaulters) as the test set before we fitted any statistic. This ensures that outlier fences, imputation values and scaling never see the test rows.</w:t>
      </w:r>
    </w:p>
    <w:p>
      <w:pPr>
        <w:pStyle w:val="ListParagraph"/>
        <w:numPr>
          <w:ilvl w:val="0"/>
          <w:numId w:val="2"/>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We created a 0/1 'was missing' flag for each of the eleven columns with gaps. We then filled numerical gaps with the training-row median and categorical gaps with the training-row mode. We removed no rows.</w:t>
      </w:r>
    </w:p>
    <w:p>
      <w:pPr>
        <w:pStyle w:val="ListParagraph"/>
        <w:numPr>
          <w:ilvl w:val="0"/>
          <w:numId w:val="2"/>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we capped LOAN, MORTDUE, VALUE, YOJ, CLAGE, NINQ, CLNO and DEBTINC at the inter-quartile whiskers of the training rows. This removes the impossible debt-to-income and credit-age values. We capped DEROG and DELINQ at their 99th percentile (5 and 6) instead, because their inter-quartile range is zero. Tree models use the untouched values. They split on rank order, so extreme values do not distort them. Capping would only merge the largest values into one value.</w:t>
      </w:r>
    </w:p>
    <w:p>
      <w:pPr>
        <w:pStyle w:val="ListParagraph"/>
        <w:numPr>
          <w:ilvl w:val="0"/>
          <w:numId w:val="2"/>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We one-hot encoded loan purpose and occupation (first level removed). We standardised the continuous inputs for the logistic regression only. We left the flags as 0/1 so their coefficients read as the effect of the flag.</w:t>
      </w:r>
    </w:p>
    <w:p>
      <w:pPr>
        <w:pStyle w:val="ListParagraph"/>
        <w:numPr>
          <w:ilvl w:val="0"/>
          <w:numId w:val="2"/>
        </w:numPr>
        <w:spacing w:after="90" w:line="264"/>
      </w:pPr>
      <w:r>
        <w:rPr>
          <w:rFonts w:ascii="Calibri" w:cs="Calibri" w:eastAsia="Calibri" w:hAnsi="Calibri"/>
          <w:b/>
          <w:bCs/>
          <w:sz w:val="22"/>
          <w:szCs w:val="22"/>
        </w:rPr>
        <w:t xml:space="preserve">Model inputs. </w:t>
      </w:r>
      <w:r>
        <w:rPr>
          <w:rFonts w:ascii="Calibri" w:cs="Calibri" w:eastAsia="Calibri" w:hAnsi="Calibri"/>
          <w:sz w:val="22"/>
          <w:szCs w:val="22"/>
        </w:rPr>
        <w:t xml:space="preserve">Every model starts from the same 27 named columns: the 10 financial attributes, the 11 missing flags and the 6 one-hot indicators. The logistic regression receives the financial attributes capped and standardised. The tree models receive them unchanged. For the final forest, Section 5 removes the weakest inputs one at a time. It keeps the smallest set within one standard error of the lowest cost. This set has 22 inputs. The five removed inputs are the missing flags of MORTDUE, DELINQ, CLAGE, NINQ and CLNO (Table 7 lists the 22 inputs).</w:t>
      </w:r>
    </w:p>
    <w:p>
      <w:pPr>
        <w:pStyle w:val="ListParagraph"/>
        <w:numPr>
          <w:ilvl w:val="0"/>
          <w:numId w:val="2"/>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We handled the 1:4 class imbalance inside the models rather than by resampling, so we kept every real applicant. We used class weights while we built the individual models, and the decision threshold when we chose the final model.</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a large part of the principal plus collection costs. Defaulted loans averaged $16,900. If the bank recovers about half through the collateral, a missed defaulter costs roughly $9,000 with collection costs. Declining a creditworthy applicant costs the interest margin on one customer, roughly $2,000. The primary metric is therefore recall on the default class (the share of future defaulters the model flags). Recall alone rewards a model that flags everyone, so we track precision (the share of flagged applicants who really default) and F1 as guard-rails. We report accuracy for completeness. ROC-AUC measures how well the model ranks applicants by risk, which matters when we move the threshold. We tuned the logistic regression, the decision tree and the random forest by cross-validated grid search that optimises recall. We then chose the final model's configuration, its inputs and its threshold on the expected cost of the two errors. We estimated that cost with repeated out-of-fold predictions on the training rows, so that precision has an explicit price in the choice.</w:t>
      </w:r>
    </w:p>
    <w:p>
      <w:pPr>
        <w:pStyle w:val="Heading2"/>
        <w:keepNext/>
        <w:spacing w:after="120" w:before="240"/>
      </w:pPr>
      <w:r>
        <w:rPr>
          <w:rFonts w:ascii="Calibri" w:cs="Calibri" w:eastAsia="Calibri" w:hAnsi="Calibri"/>
          <w:b/>
          <w:bCs/>
          <w:color w:val="1E2761"/>
          <w:sz w:val="25"/>
          <w:szCs w:val="25"/>
        </w:rPr>
        <w:t xml:space="preserve">Models built and what each one taught us</w:t>
      </w:r>
    </w:p>
    <w:p>
      <w:pPr>
        <w:spacing w:after="140" w:line="276"/>
        <w:jc w:val="both"/>
      </w:pPr>
      <w:r>
        <w:rPr>
          <w:rFonts w:ascii="Calibri" w:cs="Calibri" w:eastAsia="Calibri" w:hAnsi="Calibri"/>
          <w:b/>
          <w:bCs/>
          <w:sz w:val="22"/>
          <w:szCs w:val="22"/>
        </w:rPr>
        <w:t xml:space="preserve">Why these techniques. </w:t>
      </w:r>
      <w:r>
        <w:rPr>
          <w:rFonts w:ascii="Calibri" w:cs="Calibri" w:eastAsia="Calibri" w:hAnsi="Calibri"/>
          <w:sz w:val="22"/>
          <w:szCs w:val="22"/>
        </w:rPr>
        <w:t xml:space="preserve">The data exploration found four facts that set the choice. (1) Risk changes in steps, not in straight lines, for example at a 45% debt-to-income ratio. (2) Risk factors combine, for example delinquency inside the lower debt-to-income bands. (3) A blank field is itself a risk signal. (4) Only one applicant in five defaults. A decision tree splits on thresholds and on one driver inside another, so it fits facts 1 and 2. It also gives readable rules for adverse-action reasons. A single tree is unstable, so we added bagging to reduce variance. The random forest also picks a random subset of inputs at each split, which makes the trees less alike. Logistic regression is the transparent linear benchmark. It measures how much the non-linear models add. Every model starts from a missing-value flag for each field with gaps, which covers fact 3. The final forest keeps six of these flags (Section 5). Class weights and the decision threshold handle fact 4, and we keep every real applicant. We did not explore k-nearest neighbours or support vector machines. The bank cannot easily explain their decisions to an applicant, and the ECOA requires such an explanation.</w:t>
      </w:r>
    </w:p>
    <w:p>
      <w:pPr>
        <w:spacing w:after="140" w:line="276"/>
        <w:jc w:val="both"/>
      </w:pPr>
      <w:r>
        <w:rPr>
          <w:rFonts w:ascii="Calibri" w:cs="Calibri" w:eastAsia="Calibri" w:hAnsi="Calibri"/>
          <w:sz w:val="22"/>
          <w:szCs w:val="22"/>
        </w:rPr>
        <w:t xml:space="preserve">Table 2 lists the main models, their performance on the held-out applicants and the insight that each one contributed. Two more models gave no gain at the 0.5 threshold. A fully grown tree with 0.2/0.8 class weights caught 62% of defaulters at 72% precision. Bagging with class-weighted trees caught 60% at 81% precision. In both cases, each fully grown tree still fits its training sample perfectly.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850"/>
        <w:gridCol w:w="1100"/>
        <w:gridCol w:w="1100"/>
        <w:gridCol w:w="1000"/>
        <w:gridCol w:w="3410"/>
      </w:tblGrid>
      <w:tr>
        <w:trPr>
          <w:cantSplit/>
          <w:tblHeader/>
        </w:trPr>
        <w:tc>
          <w:tcPr>
            <w:tcW w:type="dxa" w:w="1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8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accurate overall but biased to the majority class. It misses 43% of defaulters because 80% of applicants repay.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agree with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memorises the training data (100% on train, depth 28, 366 leaves). Even so its test recall beats the plain linear model, showing that splits capture the thresholds.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applicant per defaulter caught. Its first splits read as business rules: ratio missing (62% default), ratio above 44% (77%), delinquent lines, credit-history length.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This is variance reduction in action. Class-weighting the base trees does not raise recall, because each fully grown tree still fits its sample perfectly.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at the 0.5 threshold the forest is conservative and still misses almost a third of defaulters there. On 22 inputs and with its threshold moved to 0.15, this is the proposed model.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This is the best balance at the conventional threshold.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chooses larger leaves and balanced weights. It generalises with a smaller train-test gap, but it buys little extra recall with a lot of precision. This is why the final selection uses expected cost rather than recall alone.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Removing occupation, loan purpose and nine minor flags changes performance by about a point at the 0.5 threshold. The selection step tests whether this holds at the cost-optimal threshold.</w:t>
            </w:r>
          </w:p>
        </w:tc>
      </w:tr>
    </w:tbl>
    <w:p>
      <w:pPr>
        <w:keepLines/>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Validation scores before and after tuning. </w:t>
      </w:r>
      <w:r>
        <w:rPr>
          <w:rFonts w:ascii="Calibri" w:cs="Calibri" w:eastAsia="Calibri" w:hAnsi="Calibri"/>
          <w:sz w:val="22"/>
          <w:szCs w:val="22"/>
        </w:rPr>
        <w:t xml:space="preserve">Cross-validation on the training rows shows the tuning gains, so they do not depend on the test set. Cross-validated recall rose from 63% to 81% for the logistic regression (plain to balanced weights). It rose from 64% to 83% for the decision tree (fully grown to grid search). It rose from 70% to 81% for the random forest (default to grid search). Cross-validated precision fell at the same time, from 79% to 60%, from 66% to 53% and from 83% to 64%. So the final step tuned the forest's input set and decision threshold on expected cost. This step used three different 5-fold splits of the training rows, not the forest's single 3-fold split above. The different splits and the smaller input set explain the small difference in its scores. On these out-of-fold predictions, the final forest on 22 inputs caught 71.0% of defaulters at 82.7% precision with the 0.5 threshold. With the 0.15 threshold it caught 93.7% at 63.9% precision. The cost per 1,000 applicants fell from about $580,000 to about $324,000, which is 44% lower.</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The techniques agree on four main drivers: the debt-to-income ratio, whether it was recorded, the number of delinquent credit lines and the credit-history length. Derogatory reports also matter in the linear model and in the pruned tree, but the final forest gives them less weight (10th of 22 inputs). Loan, property and mortgage amounts matter in combination. Occupation and loan purpose add little on their own. A linear model, a single tree and the ensembles agree, and this is the best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140" w:line="276"/>
        <w:jc w:val="both"/>
      </w:pPr>
      <w:r>
        <w:rPr>
          <w:rFonts w:ascii="Calibri" w:cs="Calibri" w:eastAsia="Calibri" w:hAnsi="Calibri"/>
          <w:sz w:val="22"/>
          <w:szCs w:val="22"/>
        </w:rPr>
        <w:t xml:space="preserve">Figure 5 compares the techniques on the held-out applicants. Table 3 lists their pros and cons for this problem.</w:t>
      </w:r>
    </w:p>
    <w:p>
      <w:pPr>
        <w:keepNext/>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5.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applicant, so the bank should prefer models that catch defaulters. This preference holds only while the number of declined good applicants stays proportionate. Accuracy would reward approving everyone (80% accurate and useless). Recall alone would reward declining everyone. The business sets the order: recall first, precision second, and expected cost to settle the trade-off.</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because the risk in this data changes in steps. The class-weighted and recall-tuned forests do this at a similar recall (77% to 79% against 80%). Single tree vs ensembles: the pruned tree catches the most defaulters at the 0.5 threshold (82%) but with the lowest precision (53%). Bagging shows that averaging alone lifts precision to 83%. At the 0.5 threshold, the class-weighted forest gives the best balance. It reaches 77% recall at 77% precision, the highest F1 score (0.77) of all models at that threshold, and a ROC-AUC of 0.96. On the chosen yardstick (expected cost at each model's own best threshold), the unweighted Random Forest performs best (Table 5). On its 22 selected inputs it costs about $324,000 per 1,000 applicants. The bagged trees cost $390,000, the logistic regression $550,000 and the tuned tree $607,000. It wins because it ranks applicants best (ROC-AUC 0.96). At its own best threshold it catches more defaulters than the other techniques, and its precision is still higher. Out of fold, it catches 93.7% of defaulters at 63.9% precision. The bagged trees catch 90.1% at 62.9%. The logistic regression catches 81.5% at 59.9%, and the tuned tree catches 80.0% at 56.3%.</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we already apply the first improvement below. Choosing the operating threshold on expected cost rather than at 0.5 moves the forest's recall above 90% at a controlled precision cost. We expect further gains from engineered features such as a combined loan-to-value ratio ((loan + mortgage due) / property value), debt-to-income bands and interaction terms. These features would also help the linear model. Debt-to-income bands capture the 45% cliff. Interaction terms capture the combined risk factors in Figure 4. A loan-to-value ratio joins the loan, mortgage and property amounts, which matter in combination rather than alone. Gradient boosting is the next technique to explore. It builds trees one after another, and each new tree corrects the errors of the earlier trees. It keeps what makes trees fit this data: thresholds, combined risk factors and blank fields. On tabular data like this it often ranks applicants better than a random forest. Probability calibration would let the bank read the score as a default rate. This matters because the forest's scores understate risk in the decision range (Section 5). We also expect gains from reject inference. Reject inference matters because the data only covers loans the bank approved, so the models never saw the applicants the old process declined.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fully transparent: one coefficient per attribute, and the bank can quote odds ratios. It is trivial to run and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under-fits threshold effects on the raw inputs. At the same recall it declines many more good applicants, and it is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a readable rule list that captures thresholds, and it is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unstable between re-trainings and has the lowest precision when tuned for recall. It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reduces variance by a large amount and is stable. Its precision and ranking quality are high.</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has no rule list, and class weights do not move its recall. The forest supersedes it.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best balance of recall and precision, the best ranking quality, and is stable. Importances and a surrogate tree explain it now. The bank builds per-applicant risk drivers (for example SHAP values) before the shadow run.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not a rule list on its own. Some stakeholders perceive it as a black box. It needs model-risk documentation and drift monitoring.</w:t>
            </w:r>
          </w:p>
        </w:tc>
      </w:tr>
    </w:tbl>
    <w:p>
      <w:pPr>
        <w:keepLines/>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Do the drivers remain significant after modelling? </w:t>
      </w:r>
      <w:r>
        <w:rPr>
          <w:rFonts w:ascii="Calibri" w:cs="Calibri" w:eastAsia="Calibri" w:hAnsi="Calibri"/>
          <w:sz w:val="22"/>
          <w:szCs w:val="22"/>
        </w:rPr>
        <w:t xml:space="preserve">Yes, for the main drivers. The debt-to-income ratio, its missing flag, delinquent credit lines and credit-history length are strong in the EDA. They stay strong in every model. In the logistic regression, a missing ratio multiplies the odds of default by about 13. Each standard deviation of delinquent lines multiplies them by about 2.4. The pruned tree and the surrogate tree split first on the missing flag, then on the ratio and on delinquent lines. In the final forest these four carry about half of the decision power and give the four largest permutation drops. Some EDA findings weaken after modelling. Loan purpose is significant in the EDA (p = 0.005) but adds little to any model. The loan, property and mortgage amounts differ significantly but modestly. The linear model gives the loan amount almost no weight (odds ratio 0.995). A missing property valuation has the largest linear odds ratio (about 45). But it ranks only 12th in the forest, because only 1.9% of applicants have no valuation. Each occupation indicator ranks outside the forest's top 12. But the forest without occupation costs about 13% more, so occupation stays significant as a group.</w:t>
      </w:r>
    </w:p>
    <w:p>
      <w:pPr>
        <w:keepNext/>
        <w:spacing w:after="140" w:line="276"/>
        <w:jc w:val="both"/>
      </w:pPr>
      <w:r>
        <w:rPr>
          <w:rFonts w:ascii="Calibri" w:cs="Calibri" w:eastAsia="Calibri" w:hAnsi="Calibri"/>
          <w:b/>
          <w:bCs/>
          <w:sz w:val="22"/>
          <w:szCs w:val="22"/>
        </w:rPr>
        <w:t xml:space="preserve">Most meaningful insights.</w:t>
      </w:r>
    </w:p>
    <w:p>
      <w:pPr>
        <w:pStyle w:val="ListParagraph"/>
        <w:keepNext/>
        <w:numPr>
          <w:ilvl w:val="0"/>
          <w:numId w:val="5"/>
        </w:numPr>
        <w:spacing w:after="100" w:line="264"/>
      </w:pPr>
      <w:r>
        <w:rPr>
          <w:rFonts w:ascii="Calibri" w:cs="Calibri" w:eastAsia="Calibri" w:hAnsi="Calibri"/>
          <w:sz w:val="22"/>
          <w:szCs w:val="22"/>
        </w:rPr>
        <w:t xml:space="preserve">Unverified affordability is the largest risk. Applicants with no recorded debt-to-income ratio defaulted 62% of the time. They include two thirds of all defaulters.</w:t>
      </w:r>
    </w:p>
    <w:p>
      <w:pPr>
        <w:pStyle w:val="ListParagraph"/>
        <w:keepNext/>
        <w:numPr>
          <w:ilvl w:val="0"/>
          <w:numId w:val="5"/>
        </w:numPr>
        <w:spacing w:after="100" w:line="264"/>
      </w:pPr>
      <w:r>
        <w:rPr>
          <w:rFonts w:ascii="Calibri" w:cs="Calibri" w:eastAsia="Calibri" w:hAnsi="Calibri"/>
          <w:sz w:val="22"/>
          <w:szCs w:val="22"/>
        </w:rPr>
        <w:t xml:space="preserve">Debt burden has a cliff. Above a 45% ratio, 87% to 100% of applicants defaulted.</w:t>
      </w:r>
    </w:p>
    <w:p>
      <w:pPr>
        <w:pStyle w:val="ListParagraph"/>
        <w:keepNext/>
        <w:numPr>
          <w:ilvl w:val="0"/>
          <w:numId w:val="5"/>
        </w:numPr>
        <w:spacing w:after="100" w:line="264"/>
      </w:pPr>
      <w:r>
        <w:rPr>
          <w:rFonts w:ascii="Calibri" w:cs="Calibri" w:eastAsia="Calibri" w:hAnsi="Calibri"/>
          <w:sz w:val="22"/>
          <w:szCs w:val="22"/>
        </w:rPr>
        <w:t xml:space="preserve">Past repayment behaviour predicts default. The default rate rises from 14% with no delinquent line to 45% with two.</w:t>
      </w:r>
    </w:p>
    <w:p>
      <w:pPr>
        <w:pStyle w:val="ListParagraph"/>
        <w:keepNext/>
        <w:numPr>
          <w:ilvl w:val="0"/>
          <w:numId w:val="5"/>
        </w:numPr>
        <w:spacing w:after="100" w:line="264"/>
      </w:pPr>
      <w:r>
        <w:rPr>
          <w:rFonts w:ascii="Calibri" w:cs="Calibri" w:eastAsia="Calibri" w:hAnsi="Calibri"/>
          <w:sz w:val="22"/>
          <w:szCs w:val="22"/>
        </w:rPr>
        <w:t xml:space="preserve">A long credit history protects. Under five years of history, 44% defaulted. Over twenty years, about 10% did.</w:t>
      </w:r>
    </w:p>
    <w:p>
      <w:pPr>
        <w:pStyle w:val="ListParagraph"/>
        <w:keepNext/>
        <w:numPr>
          <w:ilvl w:val="0"/>
          <w:numId w:val="5"/>
        </w:numPr>
        <w:spacing w:after="100" w:line="264"/>
      </w:pPr>
      <w:r>
        <w:rPr>
          <w:rFonts w:ascii="Calibri" w:cs="Calibri" w:eastAsia="Calibri" w:hAnsi="Calibri"/>
          <w:sz w:val="22"/>
          <w:szCs w:val="22"/>
        </w:rPr>
        <w:t xml:space="preserve">The decision threshold is a business dial. The same forest catches 68% of defaulters at 0.5 and 93% at 0.15.</w:t>
      </w:r>
    </w:p>
    <w:p>
      <w:pPr>
        <w:pStyle w:val="ListParagraph"/>
        <w:keepNext w:val="false"/>
        <w:numPr>
          <w:ilvl w:val="0"/>
          <w:numId w:val="5"/>
        </w:numPr>
        <w:spacing w:after="100" w:line="264"/>
      </w:pPr>
      <w:r>
        <w:rPr>
          <w:rFonts w:ascii="Calibri" w:cs="Calibri" w:eastAsia="Calibri" w:hAnsi="Calibri"/>
          <w:sz w:val="22"/>
          <w:szCs w:val="22"/>
        </w:rPr>
        <w:t xml:space="preserve">The bank can act on the first four insights now, through its approval rules, before it deploys a model.</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its inputs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We therefore chose them together and on the business criterion, and we fixed a rule before the search. The candidate with the lowest mean expected cost on out-of-fold predictions wins. Among candidates within one fold-to-fold standard error of it, we prefer the simplest (fewest non-default settings, then fewest inputs). We scored every candidate with out-of-fold predictions from repeated 5-fold cross-validation on the training rows (three different splits, 15 validation folds). We judged each candidate at its own cost-minimising threshold. The test set played no part in the choice. The selection had three stages. Stage 1 searched the forest's class weights and minimum leaf size on all 27 inputs (Table 4). Stage 2 chose the number of inputs for the winning configuration. Stage 3 compared the result with the other forests and techniques.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$439,000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59.8%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keepLines/>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applicant. The standard error of a mean cost is the fold-to-fold SD divided by the square root of the 15 folds. For the lowest-cost row this is about $10,500. We treat configurations within one standard error of it as tied.</w:t>
      </w:r>
    </w:p>
    <w:p>
      <w:pPr>
        <w:spacing w:after="140" w:line="276"/>
        <w:jc w:val="both"/>
      </w:pPr>
      <w:r>
        <w:rPr>
          <w:rFonts w:ascii="Calibri" w:cs="Calibri" w:eastAsia="Calibri" w:hAnsi="Calibri"/>
          <w:sz w:val="22"/>
          <w:szCs w:val="22"/>
        </w:rPr>
        <w:t xml:space="preserve">Fully grown trees beat constrained trees by a wide margin for every weighting. A minimum leaf of 5 or 10 applicants (10 was the recall-only grid search's choice) makes the probabilities cruder. This costs dearly once the threshold is free to move. Among the fully grown forests the class weights barely matter. The unweighted, 0.3/0.7 and 0.2/0.8 forests lie within one standard error (about $10,500) of each other. They simply reach their minimum at different thresholds (0.15, 0.20 and 0.25). By the pre-stated rule we kept the unweighted forest, the simplest configuration with the lowest mean cost. Its score also keeps a natural reading as an estimated default rate, which we checked with a calibration table on the out-of-fold scores. It understates risk in the decision range, as we discuss below.</w:t>
      </w:r>
    </w:p>
    <w:p>
      <w:pPr>
        <w:spacing w:after="140" w:line="276"/>
        <w:jc w:val="both"/>
      </w:pPr>
      <w:r>
        <w:rPr>
          <w:rFonts w:ascii="Calibri" w:cs="Calibri" w:eastAsia="Calibri" w:hAnsi="Calibri"/>
          <w:b/>
          <w:bCs/>
          <w:sz w:val="22"/>
          <w:szCs w:val="22"/>
        </w:rPr>
        <w:t xml:space="preserve">Stage 2 chose the input set. </w:t>
      </w:r>
      <w:r>
        <w:rPr>
          <w:rFonts w:ascii="Calibri" w:cs="Calibri" w:eastAsia="Calibri" w:hAnsi="Calibri"/>
          <w:sz w:val="22"/>
          <w:szCs w:val="22"/>
        </w:rPr>
        <w:t xml:space="preserve">This is the counterpart of choosing how many principal components to keep. We ranked the inputs by the chosen forest's importance and removed them one at a time, the weakest first. We removed the six occupation columns and the two loan-purpose columns as groups, so that we never removed only part of a category. We scored each smaller set on the same 15 folds with three forest seeds. One forest's own randomness moves the cost by about one standard error. The pre-stated rule keeps the smallest input set whose seed-averaged cost is within one standard error (about $9,700) of the lowest cost on the curve. Figure 6 shows the curve. It stays flat from 27 down to 22 inputs, between about $318,000 and $325,000 per 1,000 applicants. The first five inputs removed are the missing flags of CLNO, NINQ, DELINQ, CLAGE and MORTDUE. Together they carry about 2% of the forest's decision power. The lowest cost plus one standard error gives a limit of about $327,000. Below 22 inputs the cost rises steadily, to about $329,000 for 21 inputs and $402,000 for 10. The next smaller set is above the limit, so the rule keeps 22 inputs.</w:t>
      </w:r>
    </w:p>
    <w:p>
      <w:pPr>
        <w:keepNext/>
        <w:spacing w:after="60" w:before="120"/>
        <w:jc w:val="center"/>
      </w:pPr>
      <w:r>
        <w:drawing>
          <wp:inline distT="0" distB="0" distL="0" distR="0">
            <wp:extent cx="5848350" cy="2476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6. Stage 2 of the selection: the chosen forest's mean out-of-fold cost (three seeds) as we remove the weakest inputs one at a time. The shaded band marks one standard error (about $9,700) above the lowest cost. The rule keeps the smallest set inside the band: 22 inputs.</w:t>
      </w:r>
    </w:p>
    <w:p>
      <w:pPr>
        <w:spacing w:after="140" w:line="276"/>
        <w:jc w:val="both"/>
      </w:pPr>
      <w:r>
        <w:rPr>
          <w:rFonts w:ascii="Calibri" w:cs="Calibri" w:eastAsia="Calibri" w:hAnsi="Calibri"/>
          <w:sz w:val="22"/>
          <w:szCs w:val="22"/>
        </w:rPr>
        <w:t xml:space="preserve">Stage 3 compared the forest on the 22 selected inputs with the same forest on all 27 inputs. It also tested the forest without any occupation information (16 inputs), the fallback a fair-lending review might require. The recall-tuned grid winner competed on all 27 inputs and on the 12-input subset. We scored the bagged trees, the balanced logistic regression and the recall-tuned tree the same way at their own cost-minimising thresholds. This compares every technique on the chosen yardstick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22 inputs (selected set)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63.9%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$324,000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16 inputs (no occupation)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$365,000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 (200),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$513,000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 balanced (C 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recall-tuned,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56.3%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$607,000</w:t>
            </w:r>
          </w:p>
        </w:tc>
      </w:tr>
    </w:tbl>
    <w:p>
      <w:pPr>
        <w:keepLines/>
        <w:spacing w:after="220"/>
        <w:jc w:val="center"/>
      </w:pPr>
      <w:r>
        <w:rPr>
          <w:rFonts w:ascii="Calibri" w:cs="Calibri" w:eastAsia="Calibri" w:hAnsi="Calibri"/>
          <w:i/>
          <w:iCs/>
          <w:color w:val="595959"/>
          <w:sz w:val="19"/>
          <w:szCs w:val="19"/>
        </w:rPr>
        <w:t xml:space="preserve">Table 5. Stage 3 of the selection: final candidates on repeated out-of-fold predictions of the training rows (mean of three 5-fold splits, one forest seed). Same cost assumptions as Table 4.</w:t>
      </w:r>
    </w:p>
    <w:p>
      <w:pPr>
        <w:spacing w:after="140" w:line="276"/>
        <w:jc w:val="both"/>
      </w:pPr>
      <w:r>
        <w:rPr>
          <w:rFonts w:ascii="Calibri" w:cs="Calibri" w:eastAsia="Calibri" w:hAnsi="Calibri"/>
          <w:b/>
          <w:bCs/>
          <w:sz w:val="22"/>
          <w:szCs w:val="22"/>
        </w:rPr>
        <w:t xml:space="preserve">The forest wins on cost. </w:t>
      </w:r>
      <w:r>
        <w:rPr>
          <w:rFonts w:ascii="Calibri" w:cs="Calibri" w:eastAsia="Calibri" w:hAnsi="Calibri"/>
          <w:sz w:val="22"/>
          <w:szCs w:val="22"/>
        </w:rPr>
        <w:t xml:space="preserve">The unweighted forest has the lowest expected cost of all techniques, on 22 and on 27 inputs. The recall-tuned grid winner costs about half again as much once precision has a price. This shows that recall-only tuning over-shoots. Even at their own best thresholds, the bagged trees cost about $390,000 per 1,000 applicants. The balanced logistic regression and the tuned tree cost about $550,000 and $607,000. So the forest wins on the chosen yardstick as well as on ranking quality.</w:t>
      </w:r>
    </w:p>
    <w:p>
      <w:pPr>
        <w:spacing w:after="140" w:line="276"/>
        <w:jc w:val="both"/>
      </w:pPr>
      <w:r>
        <w:rPr>
          <w:rFonts w:ascii="Calibri" w:cs="Calibri" w:eastAsia="Calibri" w:hAnsi="Calibri"/>
          <w:b/>
          <w:bCs/>
          <w:sz w:val="22"/>
          <w:szCs w:val="22"/>
        </w:rPr>
        <w:t xml:space="preserve">Five fewer inputs at about the same cost. </w:t>
      </w:r>
      <w:r>
        <w:rPr>
          <w:rFonts w:ascii="Calibri" w:cs="Calibri" w:eastAsia="Calibri" w:hAnsi="Calibri"/>
          <w:sz w:val="22"/>
          <w:szCs w:val="22"/>
        </w:rPr>
        <w:t xml:space="preserve">The forest on all 27 inputs has the lowest cost in Table 5 ($317,000). The forest on the 22 selected inputs costs $324,000, within one standard error (about $10,500). By the pre-stated rule, Stage 3 therefore kept the simpler 22-input forest. A paired fold-by-fold check agrees: the 22-input forest costs about $6,800 more on average, with a paired standard error of about $6,300. With three seeds, the two input sets differ by only about $1,100 (Figure 6). The final model uses 22 inputs: the 10 financial attributes, six missing flags and the six one-hot indicators. The kept flags are those of VALUE, REASON, JOB, YOJ, DEROG and DEBTINC. Without occupation, the selected set keeps 16 inputs and costs about 13% more ($365,000), well outside one standard error. Occupation therefore adds value at the cost-optimal operating point. Removing it is a policy choice with a measurable price. One caveat applies. We ranked the inputs on all training rows before the cross-validation, and this can slightly favour the smaller sets. The removed flags carry almost no weight, so the effect is small.</w:t>
      </w:r>
    </w:p>
    <w:p>
      <w:pPr>
        <w:keepNext/>
        <w:spacing w:after="60" w:before="120"/>
        <w:jc w:val="center"/>
      </w:pPr>
      <w:r>
        <w:drawing>
          <wp:inline distT="0" distB="0" distL="0" distR="0">
            <wp:extent cx="5848350" cy="38576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7. Recall and precision (top) and indicative expected cost (bottom) as the forest's threshold moves, on out-of-fold predictions of the training rows.</w:t>
      </w:r>
    </w:p>
    <w:p>
      <w:pPr>
        <w:spacing w:after="140" w:line="276"/>
        <w:jc w:val="both"/>
      </w:pPr>
      <w:r>
        <w:rPr>
          <w:rFonts w:ascii="Calibri" w:cs="Calibri" w:eastAsia="Calibri" w:hAnsi="Calibri"/>
          <w:b/>
          <w:bCs/>
          <w:sz w:val="22"/>
          <w:szCs w:val="22"/>
        </w:rPr>
        <w:t xml:space="preserve">The threshold is stable. </w:t>
      </w:r>
      <w:r>
        <w:rPr>
          <w:rFonts w:ascii="Calibri" w:cs="Calibri" w:eastAsia="Calibri" w:hAnsi="Calibri"/>
          <w:sz w:val="22"/>
          <w:szCs w:val="22"/>
        </w:rPr>
        <w:t xml:space="preserve">The cost-minimising threshold is 0.15 (flag every applicant whose score exceeds 0.15, an estimated default risk of roughly one in five). It stays at 0.15 for cost ratios from 4.5:1 to 8:1. It moves to 0.20 at 2:1 and 3:1, and to 0.10 at 9:1. The assumed 4.5:1 ratio sits at the lower edge of this range. Figure 7 shows the curves at the 4.5:1 costs. The threshold also stays at 0.15 on a finer 0.01 grid. We repeated the class-weight search for fully grown trees on two other 70/30 splits. The unweighted forest on all 27 inputs was again the cheapest, and its threshold stayed at 0.15.</w:t>
      </w:r>
    </w:p>
    <w:p>
      <w:pPr>
        <w:spacing w:after="140" w:line="276"/>
        <w:jc w:val="both"/>
      </w:pPr>
      <w:r>
        <w:rPr>
          <w:rFonts w:ascii="Calibri" w:cs="Calibri" w:eastAsia="Calibri" w:hAnsi="Calibri"/>
          <w:b/>
          <w:bCs/>
          <w:sz w:val="22"/>
          <w:szCs w:val="22"/>
        </w:rPr>
        <w:t xml:space="preserve">Calibration and pipeline. </w:t>
      </w:r>
      <w:r>
        <w:rPr>
          <w:rFonts w:ascii="Calibri" w:cs="Calibri" w:eastAsia="Calibri" w:hAnsi="Calibri"/>
          <w:sz w:val="22"/>
          <w:szCs w:val="22"/>
        </w:rPr>
        <w:t xml:space="preserve">The threshold sits just below the textbook break-even of 0.18 for a perfectly calibrated score, because the forest's scores understate risk in the decision range. The scores still rank applicants well (Brier score 0.063 against 0.160 for the base rate). Applicants scored 0.10 to 0.15 defaulted about 10% of the time, and those scored 0.15 to 0.20 about 28%. So a score of 0.15 reads as roughly one-in-five estimated risk. Table 7 lists the 22 inputs and the model settings. We fill each blank with a median or mode of the training rows. The medians are MORTDUE $66,293, VALUE $89,965, YOJ 7 years, DEROG 0, DELINQ 0, CLAGE 173.87 months, NINQ 1, CLNO 20 and DEBTINC 34.84%. The modes are DebtCon for REASON and Other for JOB. LOAN has no blanks.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160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1,271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491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1,297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6. Decisions of the proposed model at the 0.15 threshold: 92.7% of defaulters caught, 67.4% precision, 89.6% accuracy, ROC-AUC 0.96. At the conventional 0.5 threshold the same model gives 67.8% recall and 82.9% precision.</w:t>
      </w:r>
    </w:p>
    <w:p>
      <w:pPr>
        <w:keepNext/>
        <w:spacing w:after="140" w:line="276"/>
        <w:jc w:val="both"/>
      </w:pPr>
      <w:r>
        <w:rPr>
          <w:rFonts w:ascii="Calibri" w:cs="Calibri" w:eastAsia="Calibri" w:hAnsi="Calibri"/>
          <w:sz w:val="22"/>
          <w:szCs w:val="22"/>
        </w:rPr>
        <w:t xml:space="preserve">Scaled to 1,000 applicants, the test results show the following (Table 6):</w:t>
      </w:r>
    </w:p>
    <w:p>
      <w:pPr>
        <w:pStyle w:val="ListParagraph"/>
        <w:numPr>
          <w:ilvl w:val="0"/>
          <w:numId w:val="2"/>
        </w:numPr>
        <w:spacing w:after="90" w:line="264"/>
      </w:pPr>
      <w:r>
        <w:rPr>
          <w:rFonts w:ascii="Calibri" w:cs="Calibri" w:eastAsia="Calibri" w:hAnsi="Calibri"/>
          <w:b/>
          <w:bCs/>
          <w:sz w:val="22"/>
          <w:szCs w:val="22"/>
        </w:rPr>
        <w:t xml:space="preserve">Defaulters: </w:t>
      </w:r>
      <w:r>
        <w:rPr>
          <w:rFonts w:ascii="Calibri" w:cs="Calibri" w:eastAsia="Calibri" w:hAnsi="Calibri"/>
          <w:sz w:val="22"/>
          <w:szCs w:val="22"/>
        </w:rPr>
        <w:t xml:space="preserve">the model flags about 185 of 200 defaulters before the money leaves the bank. It misses about 15.</w:t>
      </w:r>
    </w:p>
    <w:p>
      <w:pPr>
        <w:pStyle w:val="ListParagraph"/>
        <w:numPr>
          <w:ilvl w:val="0"/>
          <w:numId w:val="2"/>
        </w:numPr>
        <w:spacing w:after="90" w:line="264"/>
      </w:pPr>
      <w:r>
        <w:rPr>
          <w:rFonts w:ascii="Calibri" w:cs="Calibri" w:eastAsia="Calibri" w:hAnsi="Calibri"/>
          <w:b/>
          <w:bCs/>
          <w:sz w:val="22"/>
          <w:szCs w:val="22"/>
        </w:rPr>
        <w:t xml:space="preserve">Good applicants: </w:t>
      </w:r>
      <w:r>
        <w:rPr>
          <w:rFonts w:ascii="Calibri" w:cs="Calibri" w:eastAsia="Calibri" w:hAnsi="Calibri"/>
          <w:sz w:val="22"/>
          <w:szCs w:val="22"/>
        </w:rPr>
        <w:t xml:space="preserve">it wrongly flags about 90. This is 11% of creditworthy applicants, against 3% at the 0.5 threshold.</w:t>
      </w:r>
    </w:p>
    <w:p>
      <w:pPr>
        <w:pStyle w:val="ListParagraph"/>
        <w:numPr>
          <w:ilvl w:val="0"/>
          <w:numId w:val="2"/>
        </w:numPr>
        <w:spacing w:after="90" w:line="264"/>
      </w:pPr>
      <w:r>
        <w:rPr>
          <w:rFonts w:ascii="Calibri" w:cs="Calibri" w:eastAsia="Calibri" w:hAnsi="Calibri"/>
          <w:b/>
          <w:bCs/>
          <w:sz w:val="22"/>
          <w:szCs w:val="22"/>
        </w:rPr>
        <w:t xml:space="preserve">Cost: </w:t>
      </w:r>
      <w:r>
        <w:rPr>
          <w:rFonts w:ascii="Calibri" w:cs="Calibri" w:eastAsia="Calibri" w:hAnsi="Calibri"/>
          <w:sz w:val="22"/>
          <w:szCs w:val="22"/>
        </w:rPr>
        <w:t xml:space="preserve">with the indicative costs, the cost of credit errors falls from about $1.8 million to about $0.3 million (83% less). Today the bank approves every applicant, and 20% default.</w:t>
      </w:r>
    </w:p>
    <w:p>
      <w:pPr>
        <w:pStyle w:val="ListParagraph"/>
        <w:numPr>
          <w:ilvl w:val="0"/>
          <w:numId w:val="2"/>
        </w:numPr>
        <w:spacing w:after="90" w:line="264"/>
      </w:pPr>
      <w:r>
        <w:rPr>
          <w:rFonts w:ascii="Calibri" w:cs="Calibri" w:eastAsia="Calibri" w:hAnsi="Calibri"/>
          <w:b/>
          <w:bCs/>
          <w:sz w:val="22"/>
          <w:szCs w:val="22"/>
        </w:rPr>
        <w:t xml:space="preserve">Consistency: </w:t>
      </w:r>
      <w:r>
        <w:rPr>
          <w:rFonts w:ascii="Calibri" w:cs="Calibri" w:eastAsia="Calibri" w:hAnsi="Calibri"/>
          <w:sz w:val="22"/>
          <w:szCs w:val="22"/>
        </w:rPr>
        <w:t xml:space="preserve">test and out-of-fold results agree (recall 93% vs 94%, precision 67% vs 64%, cost $310,000 ± $28,000 vs $324,000). One test evaluation is too noisy to choose between the close configurations and input sets, so that choice rests on the out-of-fold comparison.</w:t>
      </w:r>
    </w:p>
    <w:p>
      <w:pPr>
        <w:pStyle w:val="ListParagraph"/>
        <w:numPr>
          <w:ilvl w:val="0"/>
          <w:numId w:val="2"/>
        </w:numPr>
        <w:spacing w:after="90" w:line="264"/>
      </w:pPr>
      <w:r>
        <w:rPr>
          <w:rFonts w:ascii="Calibri" w:cs="Calibri" w:eastAsia="Calibri" w:hAnsi="Calibri"/>
          <w:b/>
          <w:bCs/>
          <w:sz w:val="22"/>
          <w:szCs w:val="22"/>
        </w:rPr>
        <w:t xml:space="preserve">Approval rate: </w:t>
      </w:r>
      <w:r>
        <w:rPr>
          <w:rFonts w:ascii="Calibri" w:cs="Calibri" w:eastAsia="Calibri" w:hAnsi="Calibri"/>
          <w:sz w:val="22"/>
          <w:szCs w:val="22"/>
        </w:rPr>
        <w:t xml:space="preserve">the model flags about 27% of applicants, so the bank would approve about 73%. At the 0.5 threshold it flags 16%.</w:t>
      </w:r>
    </w:p>
    <w:p>
      <w:pPr>
        <w:pStyle w:val="ListParagraph"/>
        <w:numPr>
          <w:ilvl w:val="0"/>
          <w:numId w:val="2"/>
        </w:numPr>
        <w:spacing w:after="90" w:line="264"/>
      </w:pPr>
      <w:r>
        <w:rPr>
          <w:rFonts w:ascii="Calibri" w:cs="Calibri" w:eastAsia="Calibri" w:hAnsi="Calibri"/>
          <w:b/>
          <w:bCs/>
          <w:sz w:val="22"/>
          <w:szCs w:val="22"/>
        </w:rPr>
        <w:t xml:space="preserve">Bands at 0.10 and 0.25: </w:t>
      </w:r>
      <w:r>
        <w:rPr>
          <w:rFonts w:ascii="Calibri" w:cs="Calibri" w:eastAsia="Calibri" w:hAnsi="Calibri"/>
          <w:sz w:val="22"/>
          <w:szCs w:val="22"/>
        </w:rPr>
        <w:t xml:space="preserve">the bank would approve about 69% automatically (about 1% defaulted) and refer about 7% (about 21% defaulted). It would decline about 24% (73% defaulted, 88% of all defaulters). It declines about 64 creditworthy applicants automatically and refers about 58.</w:t>
      </w:r>
    </w:p>
    <w:p>
      <w:pPr>
        <w:pStyle w:val="ListParagraph"/>
        <w:numPr>
          <w:ilvl w:val="0"/>
          <w:numId w:val="2"/>
        </w:numPr>
        <w:spacing w:after="90" w:line="264"/>
      </w:pPr>
      <w:r>
        <w:rPr>
          <w:rFonts w:ascii="Calibri" w:cs="Calibri" w:eastAsia="Calibri" w:hAnsi="Calibri"/>
          <w:b/>
          <w:bCs/>
          <w:sz w:val="22"/>
          <w:szCs w:val="22"/>
        </w:rPr>
        <w:t xml:space="preserve">Decision rule: </w:t>
      </w:r>
      <w:r>
        <w:rPr>
          <w:rFonts w:ascii="Calibri" w:cs="Calibri" w:eastAsia="Calibri" w:hAnsi="Calibri"/>
          <w:sz w:val="22"/>
          <w:szCs w:val="22"/>
        </w:rPr>
        <w:t xml:space="preserve">Table 6 and the cost figures are for the single 0.15 threshold. The bands are the operating procedure around it. Under the bands, the model catches between 88% and 96% of defaulters. The low end holds if underwriters approve every referral, and the high end if they decline every referral.</w:t>
      </w:r>
    </w:p>
    <w:p>
      <w:pPr>
        <w:pStyle w:val="ListParagraph"/>
        <w:numPr>
          <w:ilvl w:val="0"/>
          <w:numId w:val="2"/>
        </w:numPr>
        <w:spacing w:after="90" w:line="264"/>
      </w:pPr>
      <w:r>
        <w:rPr>
          <w:rFonts w:ascii="Calibri" w:cs="Calibri" w:eastAsia="Calibri" w:hAnsi="Calibri"/>
          <w:b/>
          <w:bCs/>
          <w:sz w:val="22"/>
          <w:szCs w:val="22"/>
        </w:rPr>
        <w:t xml:space="preserve">Recorded ratio: </w:t>
      </w:r>
      <w:r>
        <w:rPr>
          <w:rFonts w:ascii="Calibri" w:cs="Calibri" w:eastAsia="Calibri" w:hAnsi="Calibri"/>
          <w:sz w:val="22"/>
          <w:szCs w:val="22"/>
        </w:rPr>
        <w:t xml:space="preserve">about a fifth of applicants have no recorded debt-to-income ratio. They include two thirds of all defaulters. The model flags 97% of these applicants and catches 99% of their defaulters. On applicants with a recorded ratio, it flags 9% and catches 81% of their defaulters at 78% precision. This is the better guide once income verification is mandatory.</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b/>
          <w:bCs/>
          <w:sz w:val="22"/>
          <w:szCs w:val="22"/>
        </w:rPr>
        <w:t xml:space="preserve">The trade-off. </w:t>
      </w:r>
      <w:r>
        <w:rPr>
          <w:rFonts w:ascii="Calibri" w:cs="Calibri" w:eastAsia="Calibri" w:hAnsi="Calibri"/>
          <w:sz w:val="22"/>
          <w:szCs w:val="22"/>
        </w:rPr>
        <w:t xml:space="preserve">The forest performs best, but nobody can read it as a rule list. The ECOA requires a specific reason for each adverse decision. The proposal resolves the trade-off with a surrogate decision tree and per-applicant risk drivers.</w:t>
      </w:r>
    </w:p>
    <w:p>
      <w:pPr>
        <w:spacing w:after="140" w:line="276"/>
        <w:jc w:val="both"/>
      </w:pPr>
      <w:r>
        <w:rPr>
          <w:rFonts w:ascii="Calibri" w:cs="Calibri" w:eastAsia="Calibri" w:hAnsi="Calibri"/>
          <w:b/>
          <w:bCs/>
          <w:sz w:val="22"/>
          <w:szCs w:val="22"/>
        </w:rPr>
        <w:t xml:space="preserve">The surrogate tree. </w:t>
      </w:r>
      <w:r>
        <w:rPr>
          <w:rFonts w:ascii="Calibri" w:cs="Calibri" w:eastAsia="Calibri" w:hAnsi="Calibri"/>
          <w:sz w:val="22"/>
          <w:szCs w:val="22"/>
        </w:rPr>
        <w:t xml:space="preserve">This is a four-level tree that we fit to the forest's out-of-fold flag/clear decisions on the training rows. We use out-of-fold decisions because a fully grown forest reproduces its training labels almost perfectly. In-sample decisions would therefore teach the tree the labels rather than the forest's behaviour on new applicants. The surrogate reproduces 93% of the forest's decisions on unseen applicants, against 73% for a rule that never flags anyone. Its rules are the same drivers the analysis found throughout. If the debt-to-income ratio is missing, the tree flags the applicant. If the ratio is recorded and above about 44%, the tree flags the applicant. At or below 44%, it flags an applicant with a delinquent credit line and a credit history of about 93 months (7.8 years) or less. Otherwise the tree clears the applicant.</w:t>
      </w:r>
    </w:p>
    <w:p>
      <w:pPr>
        <w:spacing w:after="140" w:line="276"/>
        <w:jc w:val="both"/>
      </w:pPr>
      <w:r>
        <w:rPr>
          <w:rFonts w:ascii="Calibri" w:cs="Calibri" w:eastAsia="Calibri" w:hAnsi="Calibri"/>
          <w:b/>
          <w:bCs/>
          <w:sz w:val="22"/>
          <w:szCs w:val="22"/>
        </w:rPr>
        <w:t xml:space="preserve">Reasons for each applicant. </w:t>
      </w:r>
      <w:r>
        <w:rPr>
          <w:rFonts w:ascii="Calibri" w:cs="Calibri" w:eastAsia="Calibri" w:hAnsi="Calibri"/>
          <w:sz w:val="22"/>
          <w:szCs w:val="22"/>
        </w:rPr>
        <w:t xml:space="preserve">Each adverse-action notice must also give the reasons for that applicant. So the bank builds per-applicant risk drivers from the forest (for example SHAP values) in the first two months, before the shadow run. These drivers give the reason for each decline, including the automatic declines above 0.25. They also cover the roughly 7% of decisions that the surrogate does not reproduce. The surrogate rules give the plain-language summary of how the model decides.</w:t>
      </w:r>
    </w:p>
    <w:p>
      <w:pPr>
        <w:spacing w:after="140" w:line="276"/>
        <w:jc w:val="both"/>
      </w:pPr>
      <w:r>
        <w:rPr>
          <w:rFonts w:ascii="Calibri" w:cs="Calibri" w:eastAsia="Calibri" w:hAnsi="Calibri"/>
          <w:b/>
          <w:bCs/>
          <w:sz w:val="22"/>
          <w:szCs w:val="22"/>
        </w:rPr>
        <w:t xml:space="preserve">What the forest relies on. </w:t>
      </w:r>
      <w:r>
        <w:rPr>
          <w:rFonts w:ascii="Calibri" w:cs="Calibri" w:eastAsia="Calibri" w:hAnsi="Calibri"/>
          <w:sz w:val="22"/>
          <w:szCs w:val="22"/>
        </w:rPr>
        <w:t xml:space="preserve">Figure 8 shows the inputs that the forest relies on most. The debt-to-income ratio, its missing flag, delinquent lines and credit-history length together carry about half of its decision power (48%). Permutation importance ranks the same four at the top. Derogatory reports and recent inquiries matter less than the loan amount.</w:t>
      </w:r>
    </w:p>
    <w:p>
      <w:pPr>
        <w:keepNext/>
        <w:spacing w:after="60" w:before="120"/>
        <w:jc w:val="center"/>
      </w:pPr>
      <w:r>
        <w:drawing>
          <wp:inline distT="0" distB="0" distL="0" distR="0">
            <wp:extent cx="5391150" cy="27336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8.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p>
      <w:pPr>
        <w:keepNext/>
        <w:spacing w:after="140" w:line="276"/>
        <w:jc w:val="both"/>
      </w:pPr>
      <w:r>
        <w:rPr>
          <w:rFonts w:ascii="Calibri" w:cs="Calibri" w:eastAsia="Calibri" w:hAnsi="Calibri"/>
          <w:sz w:val="22"/>
          <w:szCs w:val="22"/>
        </w:rPr>
        <w:t xml:space="preserve">Table 7 summarises 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Each split tries 4 of the 22 inputs, chosen at random (the square root of 22, rounded down, the library default). The random seed is 1. The configuration search showed that class weights add nothing once we choose the threshold on cost. The 0.3/0.7 and 0.2/0.8 weightings lie within one standard error of the unweighted forest. The balanced and 0.1/0.9 weightings cost about $13,000 and $27,000 more per 1,000 applicants. The 22 inputs are of three kinds. The 10 financial attributes (LOAN, MORTDUE, VALUE, YOJ, DEROG, DELINQ, CLAGE, NINQ, CLNO, DEBTINC). A 0/1 missing-value flag for six fields (VALUE, REASON, JOB, YOJ, DEROG, DEBTINC). Six 0/1 indicators from one-hot encoding (REASON = HomeImp, and JOB = Office, Other, ProfExe, Sales, Self). Stage 2 removed the missing flags of MORTDUE, DELINQ, CLAGE, NINQ and CLNO. Median/mode imputation learned on training rows.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This threshold is cost-minimising on repeated out-of-fold predictions and stable for cost ratios 4.5:1 to 8:1. It is just below the textbook break-even of 0.18, as expected for a score that understates risk. On two other train/test splits, the unweighted 27-input forest also chose 0.15. We will re-derive it with the bank's own loss and margin figures. Approve / refer / decline bands at 0.10 and 0.25 keep an underwriter in the loop around the threshold. On the test set the bands hold about 69% / 7% / 24% of applicants, with default rates of about 1% / 21% / 73%. The headline figures (92.7% recall, 67.4% precision, 83% lower cost) are for the 0.15 threshold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gives the plain-language summary of the rules. It agrees with the forest on 93% of unseen applicants. Per-applicant risk drivers from the forest (for example SHAP values, built before the shadow run) give the reason on each adverse-action notice.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on the selected inputs without any occupation information (16 inputs), if the fair-lending review requires it. Its expected credit-error cost is about 13% higher.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Refer an applicant with two or more delinquent lines (45% and above observed default) to an underwriter. Also refer an applicant with two or more derogatory reports (51% and above). We read these thresholds from the observed default rates. Where a hard rule and the score disagree, the stricter outcome applies. The band shares above do not include these rule-driven referrals.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Its configuration has the lowest expected cost of credit errors among the fifteen forest configurations (Table 4). Among the eight final candidates (Table 5), only the same forest on all 27 inputs costs less. That gap is within one standard error, so the rule chose the simpler 22-input forest. The test set played no part in the choice. We then measured it once on the test set (93% recall, 67% precision, consistent with the out-of-fold estimate). It is stable: hundreds of averaged trees, out-of-fold and test agree, and the threshold holds over a range of cost assumptions. It is interpretable through the surrogate tree and per-applicant risk drivers. It is deployable on fields the underwriting process already captures.</w:t>
            </w:r>
          </w:p>
        </w:tc>
      </w:tr>
    </w:tbl>
    <w:p>
      <w:pPr>
        <w:keepLines/>
        <w:spacing w:after="220"/>
        <w:jc w:val="center"/>
      </w:pPr>
      <w:r>
        <w:rPr>
          <w:rFonts w:ascii="Calibri" w:cs="Calibri" w:eastAsia="Calibri" w:hAnsi="Calibri"/>
          <w:i/>
          <w:iCs/>
          <w:color w:val="595959"/>
          <w:sz w:val="19"/>
          <w:szCs w:val="19"/>
        </w:rPr>
        <w:t xml:space="preserve">Table 7. The proposed solution design.</w:t>
      </w:r>
    </w:p>
    <w:p>
      <w:pPr>
        <w:pStyle w:val="Heading2"/>
        <w:keepNext/>
        <w:spacing w:after="120" w:before="240"/>
      </w:pPr>
      <w:r>
        <w:rPr>
          <w:rFonts w:ascii="Calibri" w:cs="Calibri" w:eastAsia="Calibri" w:hAnsi="Calibri"/>
          <w:b/>
          <w:bCs/>
          <w:color w:val="1E2761"/>
          <w:sz w:val="25"/>
          <w:szCs w:val="25"/>
        </w:rPr>
        <w:t xml:space="preserve">How the solution solves the problem</w:t>
      </w:r>
    </w:p>
    <w:p>
      <w:pPr>
        <w:keepNext/>
        <w:spacing w:after="140" w:line="276"/>
        <w:jc w:val="both"/>
      </w:pPr>
      <w:r>
        <w:rPr>
          <w:rFonts w:ascii="Calibri" w:cs="Calibri" w:eastAsia="Calibri" w:hAnsi="Calibri"/>
          <w:sz w:val="22"/>
          <w:szCs w:val="22"/>
        </w:rPr>
        <w:t xml:space="preserve">The design meets the four objectives in Section 1.</w:t>
      </w:r>
    </w:p>
    <w:p>
      <w:pPr>
        <w:pStyle w:val="ListParagraph"/>
        <w:numPr>
          <w:ilvl w:val="0"/>
          <w:numId w:val="2"/>
        </w:numPr>
        <w:spacing w:after="9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Per 1,000 applicants, the model flags about 185 of the 200 defaulters before the bank approves the loan.</w:t>
      </w:r>
    </w:p>
    <w:p>
      <w:pPr>
        <w:pStyle w:val="ListParagraph"/>
        <w:numPr>
          <w:ilvl w:val="0"/>
          <w:numId w:val="2"/>
        </w:numPr>
        <w:spacing w:after="9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At the 0.15 threshold the bank approves about 73% of applicants. The model wrongly flags 11% of good applicants.</w:t>
      </w:r>
    </w:p>
    <w:p>
      <w:pPr>
        <w:pStyle w:val="ListParagraph"/>
        <w:numPr>
          <w:ilvl w:val="0"/>
          <w:numId w:val="2"/>
        </w:numPr>
        <w:spacing w:after="9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surrogate tree gives the rules. Per-applicant risk drivers, built before the shadow run, give the reason for each decline.</w:t>
      </w:r>
    </w:p>
    <w:p>
      <w:pPr>
        <w:pStyle w:val="ListParagraph"/>
        <w:numPr>
          <w:ilvl w:val="0"/>
          <w:numId w:val="2"/>
        </w:numPr>
        <w:spacing w:after="9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The analysis names the attributes that matter most. They support rules that the bank can adopt now, such as mandatory income verification and a 45% limit on the debt-to-income ratio.</w:t>
      </w:r>
    </w:p>
    <w:p>
      <w:pPr>
        <w:spacing w:after="140" w:line="276"/>
        <w:jc w:val="both"/>
      </w:pPr>
      <w:r>
        <w:rPr>
          <w:rFonts w:ascii="Calibri" w:cs="Calibri" w:eastAsia="Calibri" w:hAnsi="Calibri"/>
          <w:sz w:val="22"/>
          <w:szCs w:val="22"/>
        </w:rPr>
        <w:t xml:space="preserve">Under the indicative costs, the cost of credit errors falls from about $1.8 million to about $0.3 million per 1,000 applicants, 83% less.</w:t>
      </w:r>
    </w:p>
    <w:p>
      <w:pPr>
        <w:pStyle w:val="Heading2"/>
        <w:keepNext/>
        <w:spacing w:after="120" w:before="240"/>
      </w:pPr>
      <w:r>
        <w:rPr>
          <w:rFonts w:ascii="Calibri" w:cs="Calibri" w:eastAsia="Calibri" w:hAnsi="Calibri"/>
          <w:b/>
          <w:bCs/>
          <w:color w:val="1E2761"/>
          <w:sz w:val="25"/>
          <w:szCs w:val="25"/>
        </w:rPr>
        <w:t xml:space="preserve">Is the model ready for production? Yes, with conditions</w:t>
      </w:r>
    </w:p>
    <w:p>
      <w:pPr>
        <w:keepNext/>
        <w:spacing w:after="140" w:line="276"/>
        <w:jc w:val="both"/>
      </w:pPr>
      <w:r>
        <w:rPr>
          <w:rFonts w:ascii="Calibri" w:cs="Calibri" w:eastAsia="Calibri" w:hAnsi="Calibri"/>
          <w:sz w:val="22"/>
          <w:szCs w:val="22"/>
        </w:rPr>
        <w:t xml:space="preserve">The model's performance is good enough for production. On 1,788 unseen applicants it catches 92.7% of defaulters at 67.4% precision (ROC-AUC 0.96). This agrees with the out-of-fold estimate (recall 94%, precision 64%). Under the indicative costs it cuts the cost of credit errors by about 83%. The surrogate tree and the per-applicant risk drivers make its decisions explainable. But the model must not affect real lending decisions until the bank meets five conditions:</w:t>
      </w:r>
    </w:p>
    <w:p>
      <w:pPr>
        <w:pStyle w:val="ListParagraph"/>
        <w:keepNext w:val="false"/>
        <w:numPr>
          <w:ilvl w:val="0"/>
          <w:numId w:val="6"/>
        </w:numPr>
        <w:spacing w:after="100" w:line="264"/>
      </w:pPr>
      <w:r>
        <w:rPr>
          <w:rFonts w:ascii="Calibri" w:cs="Calibri" w:eastAsia="Calibri" w:hAnsi="Calibri"/>
          <w:sz w:val="22"/>
          <w:szCs w:val="22"/>
        </w:rPr>
        <w:t xml:space="preserve">Run the model in shadow mode on all applications for one to two months. Compare its flags with the underwriters' decisions. Set the band edges to match underwriting capacity.</w:t>
      </w:r>
    </w:p>
    <w:p>
      <w:pPr>
        <w:pStyle w:val="ListParagraph"/>
        <w:keepNext w:val="false"/>
        <w:numPr>
          <w:ilvl w:val="0"/>
          <w:numId w:val="6"/>
        </w:numPr>
        <w:spacing w:after="100" w:line="264"/>
      </w:pPr>
      <w:r>
        <w:rPr>
          <w:rFonts w:ascii="Calibri" w:cs="Calibri" w:eastAsia="Calibri" w:hAnsi="Calibri"/>
          <w:sz w:val="22"/>
          <w:szCs w:val="22"/>
        </w:rPr>
        <w:t xml:space="preserve">Build the per-applicant risk drivers, so that every decline has a specific reason under the ECOA.</w:t>
      </w:r>
    </w:p>
    <w:p>
      <w:pPr>
        <w:pStyle w:val="ListParagraph"/>
        <w:keepNext w:val="false"/>
        <w:numPr>
          <w:ilvl w:val="0"/>
          <w:numId w:val="6"/>
        </w:numPr>
        <w:spacing w:after="100" w:line="264"/>
      </w:pPr>
      <w:r>
        <w:rPr>
          <w:rFonts w:ascii="Calibri" w:cs="Calibri" w:eastAsia="Calibri" w:hAnsi="Calibri"/>
          <w:sz w:val="22"/>
          <w:szCs w:val="22"/>
        </w:rPr>
        <w:t xml:space="preserve">Pass a fair-lending review of approval and error rates across protected groups. Use the 16-input model without occupation if the review requires it.</w:t>
      </w:r>
    </w:p>
    <w:p>
      <w:pPr>
        <w:pStyle w:val="ListParagraph"/>
        <w:keepNext w:val="false"/>
        <w:numPr>
          <w:ilvl w:val="0"/>
          <w:numId w:val="6"/>
        </w:numPr>
        <w:spacing w:after="100" w:line="264"/>
      </w:pPr>
      <w:r>
        <w:rPr>
          <w:rFonts w:ascii="Calibri" w:cs="Calibri" w:eastAsia="Calibri" w:hAnsi="Calibri"/>
          <w:sz w:val="22"/>
          <w:szCs w:val="22"/>
        </w:rPr>
        <w:t xml:space="preserve">Re-derive the 0.15 threshold from the bank's own loss and margin figures.</w:t>
      </w:r>
    </w:p>
    <w:p>
      <w:pPr>
        <w:pStyle w:val="ListParagraph"/>
        <w:keepNext w:val="false"/>
        <w:numPr>
          <w:ilvl w:val="0"/>
          <w:numId w:val="6"/>
        </w:numPr>
        <w:spacing w:after="100" w:line="264"/>
      </w:pPr>
      <w:r>
        <w:rPr>
          <w:rFonts w:ascii="Calibri" w:cs="Calibri" w:eastAsia="Calibri" w:hAnsi="Calibri"/>
          <w:sz w:val="22"/>
          <w:szCs w:val="22"/>
        </w:rPr>
        <w:t xml:space="preserve">Test the model on past applicants with a recorded debt-to-income ratio. Refit it if necessary. On the test set it catches 81% of their defaulters at 78% precision. This test matters because mandatory income verification removes the model's strongest signal.</w:t>
      </w:r>
    </w:p>
    <w:p>
      <w:pPr>
        <w:spacing w:after="140" w:line="276"/>
        <w:jc w:val="both"/>
      </w:pPr>
      <w:r>
        <w:rPr>
          <w:rFonts w:ascii="Calibri" w:cs="Calibri" w:eastAsia="Calibri" w:hAnsi="Calibri"/>
          <w:sz w:val="22"/>
          <w:szCs w:val="22"/>
        </w:rPr>
        <w:t xml:space="preserve">After go-live, an underwriter reviews every applicant in the 0.10 to 0.25 band. The bank monitors the approval rate monthly, and it monitors recall and precision as repayment outcomes arrive. It re-trains the model at least once a year, or sooner if the default rate drifts.</w:t>
      </w: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never saw the applicants the old process declined. The shadow run and, later, reject inference address this gap. The cost assumptions are indicative, and we will replace them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6d711608a321557841fdd75852a8eac0f1a2079.png"/><Relationship Id="rId9" Type="http://schemas.openxmlformats.org/officeDocument/2006/relationships/image" Target="media/10fbed83f1ff1fdc9f10d69d2d163ca32025200c.png"/><Relationship Id="rId10" Type="http://schemas.openxmlformats.org/officeDocument/2006/relationships/image" Target="media/c31babb0fe603f3652d40d4e30cb15ae2a07d846.png"/><Relationship Id="rId11" Type="http://schemas.openxmlformats.org/officeDocument/2006/relationships/image" Target="media/8ce5587efc04d145fbb0233d6e1c3059ebf986be.png"/><Relationship Id="rId12" Type="http://schemas.openxmlformats.org/officeDocument/2006/relationships/image" Target="media/a757fb5be3bb5902635cbb64fc5d94bf04b96d41.png"/><Relationship Id="rId13" Type="http://schemas.openxmlformats.org/officeDocument/2006/relationships/image" Target="media/32384b886a66d3854a886150fec649c3a00bdc13.png"/><Relationship Id="rId14" Type="http://schemas.openxmlformats.org/officeDocument/2006/relationships/image" Target="media/687914e7a72a24d90b1fafd7a47c7239b3527b8d.png"/><Relationship Id="rId15" Type="http://schemas.openxmlformats.org/officeDocument/2006/relationships/image" Target="media/d1ae4c9accb6c9d79270d041454313cf5cdb63e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2026-10-29T17:23:24.118Z</dcterms:created>
  <dcterms:modified xsi:type="dcterms:W3CDTF">2026-10-29T17:23:24.118Z</dcterms:modified>
</cp:coreProperties>
</file>

<file path=docProps/custom.xml><?xml version="1.0" encoding="utf-8"?>
<Properties xmlns="http://schemas.openxmlformats.org/officeDocument/2006/custom-properties" xmlns:vt="http://schemas.openxmlformats.org/officeDocument/2006/docPropsVTypes"/>
</file>