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1325880" cy="838522"/>
            <wp:docPr id="10" name="Picture 10"/>
            <wp:cNvGraphicFramePr>
              <a:graphicFrameLocks noChangeAspect="1"/>
            </wp:cNvGraphicFramePr>
            <a:graphic>
              <a:graphicData uri="http://schemas.openxmlformats.org/drawingml/2006/picture">
                <pic:pic>
                  <pic:nvPicPr>
                    <pic:cNvPr id="0" name="abies_logo_cropped.png"/>
                    <pic:cNvPicPr/>
                  </pic:nvPicPr>
                  <pic:blipFill>
                    <a:blip r:embed="rId26"/>
                    <a:stretch>
                      <a:fillRect/>
                    </a:stretch>
                  </pic:blipFill>
                  <pic:spPr>
                    <a:xfrm>
                      <a:off x="0" y="0"/>
                      <a:ext cx="1325880" cy="838522"/>
                    </a:xfrm>
                    <a:prstGeom prst="rect"/>
                  </pic:spPr>
                </pic:pic>
              </a:graphicData>
            </a:graphic>
          </wp:inline>
        </w:drawing>
      </w:r>
    </w:p>
    <w:p>
      <w:pPr>
        <w:spacing w:before="80" w:after="40"/>
        <w:jc w:val="center"/>
      </w:pPr>
      <w:r>
        <w:rPr>
          <w:rFonts w:ascii="Liberation Sans" w:hAnsi="Liberation Sans"/>
          <w:b/>
          <w:color w:val="812A86"/>
          <w:sz w:val="60"/>
        </w:rPr>
        <w:t>AYURVEDA</w:t>
        <w:br/>
        <w:t>INTEGRATED CARE PLATFORM</w:t>
      </w:r>
    </w:p>
    <w:p>
      <w:pPr>
        <w:spacing w:after="360"/>
        <w:jc w:val="center"/>
      </w:pPr>
      <w:r>
        <w:rPr>
          <w:rFonts w:ascii="Liberation Sans" w:hAnsi="Liberation Sans"/>
          <w:b/>
          <w:color w:val="F28A17"/>
          <w:sz w:val="30"/>
        </w:rPr>
        <w:t>Complete Product Blueprint, Application Journeys &amp; Delivery Architecture</w:t>
      </w:r>
    </w:p>
    <w:p>
      <w:pPr>
        <w:spacing w:before="0" w:after="80"/>
        <w:jc w:val="center"/>
      </w:pPr>
      <w:r>
        <w:rPr>
          <w:rFonts w:ascii="Liberation Sans" w:hAnsi="Liberation Sans"/>
          <w:b/>
          <w:color w:val="C6007E"/>
          <w:sz w:val="22"/>
        </w:rPr>
        <w:t>Prepared for ABIES</w:t>
      </w:r>
    </w:p>
    <w:p>
      <w:pPr>
        <w:spacing w:after="0" w:before="0"/>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ecosystem.png"/>
                    <pic:cNvPicPr/>
                  </pic:nvPicPr>
                  <pic:blipFill>
                    <a:blip r:embed="rId11"/>
                    <a:stretch>
                      <a:fillRect/>
                    </a:stretch>
                  </pic:blipFill>
                  <pic:spPr>
                    <a:xfrm>
                      <a:off x="0" y="0"/>
                      <a:ext cx="6217920" cy="3497580"/>
                    </a:xfrm>
                    <a:prstGeom prst="rect"/>
                  </pic:spPr>
                </pic:pic>
              </a:graphicData>
            </a:graphic>
          </wp:inline>
        </w:drawing>
      </w:r>
    </w:p>
    <w:tbl>
      <w:tblPr>
        <w:tblW w:type="auto" w:w="0"/>
        <w:jc w:val="center"/>
        <w:tblLayout w:type="fixed"/>
        <w:tblLook w:firstColumn="1" w:firstRow="1" w:lastColumn="0" w:lastRow="0" w:noHBand="0" w:noVBand="1" w:val="04A0"/>
      </w:tblPr>
      <w:tblGrid>
        <w:gridCol w:w="9648"/>
      </w:tblGrid>
      <w:tr>
        <w:tc>
          <w:tcPr>
            <w:tcW w:type="dxa" w:w="10080"/>
            <w:shd w:fill="FFF3E4"/>
            <w:tcMar>
              <w:top w:w="150" w:type="dxa"/>
              <w:start w:w="180" w:type="dxa"/>
              <w:bottom w:w="150" w:type="dxa"/>
              <w:end w:w="180" w:type="dxa"/>
            </w:tcMar>
          </w:tcPr>
          <w:p>
            <w:r>
              <w:rPr>
                <w:rFonts w:ascii="Liberation Sans" w:hAnsi="Liberation Sans"/>
                <w:b/>
                <w:color w:val="F28A17"/>
                <w:sz w:val="20"/>
              </w:rPr>
              <w:t>Working positioning</w:t>
              <w:br/>
            </w:r>
            <w:r>
              <w:rPr>
                <w:rFonts w:ascii="Liberation Sans" w:hAnsi="Liberation Sans"/>
                <w:color w:val="34313A"/>
                <w:sz w:val="19"/>
              </w:rPr>
              <w:t>A trusted digital care network that connects patients, verified Ayurveda practitioners, diagnostics, medicines and Panchakarma services through one coordinated treatment journey.</w:t>
            </w:r>
          </w:p>
        </w:tc>
      </w:tr>
    </w:tbl>
    <w:p>
      <w:pPr>
        <w:spacing w:after="0" w:before="0"/>
      </w:pPr>
    </w:p>
    <w:p>
      <w:pPr>
        <w:spacing w:before="500"/>
        <w:jc w:val="center"/>
      </w:pPr>
      <w:r>
        <w:rPr>
          <w:rFonts w:ascii="Liberation Sans" w:hAnsi="Liberation Sans"/>
          <w:color w:val="6B6470"/>
          <w:sz w:val="20"/>
        </w:rPr>
        <w:t>Prepared for ABIES as a product, operating-model and technical-design foundation</w:t>
      </w:r>
    </w:p>
    <w:p>
      <w:pPr>
        <w:spacing w:after="0" w:before="0"/>
      </w:pPr>
      <w:r>
        <w:br w:type="page"/>
      </w:r>
    </w:p>
    <w:p>
      <w:pPr>
        <w:spacing w:before="120" w:after="40"/>
      </w:pPr>
      <w:r>
        <w:rPr>
          <w:rFonts w:ascii="Liberation Sans" w:hAnsi="Liberation Sans"/>
          <w:b/>
          <w:color w:val="812A86"/>
          <w:sz w:val="40"/>
        </w:rPr>
        <w:t>Document Purpose</w:t>
      </w:r>
    </w:p>
    <w:p>
      <w:pPr>
        <w:spacing w:after="180"/>
      </w:pPr>
      <w:r>
        <w:rPr>
          <w:rFonts w:ascii="Liberation Sans" w:hAnsi="Liberation Sans"/>
          <w:color w:val="6B6470"/>
          <w:sz w:val="19"/>
        </w:rPr>
        <w:t>A foundation that can be used for product discovery, investor discussions, UX design, software estimation and partner onboarding.</w:t>
      </w:r>
    </w:p>
    <w:p>
      <w:pPr>
        <w:spacing w:after="100" w:before="0" w:line="269" w:lineRule="auto"/>
      </w:pPr>
      <w:r>
        <w:rPr>
          <w:rFonts w:ascii="Liberation Sans" w:hAnsi="Liberation Sans"/>
          <w:b w:val="0"/>
          <w:color w:val="34313A"/>
          <w:sz w:val="20"/>
        </w:rPr>
        <w:t>This blueprint describes a proposed digital Ayurveda care platform. It is intentionally broader than a doctor-booking or medicine-commerce application: the core product is a longitudinal care orchestration layer connecting consultation, diagnostics, prescription fulfilment, Panchakarma/therapy and follow-up.</w:t>
      </w:r>
    </w:p>
    <w:tbl>
      <w:tblPr>
        <w:tblW w:type="auto" w:w="0"/>
        <w:jc w:val="center"/>
        <w:tblLayout w:type="fixed"/>
        <w:tblLook w:firstColumn="1" w:firstRow="1" w:lastColumn="0" w:lastRow="0" w:noHBand="0" w:noVBand="1" w:val="04A0"/>
      </w:tblPr>
      <w:tblGrid>
        <w:gridCol w:w="9648"/>
      </w:tblGrid>
      <w:tr>
        <w:tc>
          <w:tcPr>
            <w:tcW w:type="dxa" w:w="10080"/>
            <w:shd w:fill="FFF4E8"/>
            <w:tcMar>
              <w:top w:w="150" w:type="dxa"/>
              <w:start w:w="180" w:type="dxa"/>
              <w:bottom w:w="150" w:type="dxa"/>
              <w:end w:w="180" w:type="dxa"/>
            </w:tcMar>
          </w:tcPr>
          <w:p>
            <w:r>
              <w:rPr>
                <w:rFonts w:ascii="Liberation Sans" w:hAnsi="Liberation Sans"/>
                <w:b/>
                <w:color w:val="F28A17"/>
                <w:sz w:val="20"/>
              </w:rPr>
              <w:t>Important note</w:t>
              <w:br/>
            </w:r>
            <w:r>
              <w:rPr>
                <w:rFonts w:ascii="Liberation Sans" w:hAnsi="Liberation Sans"/>
                <w:color w:val="34313A"/>
                <w:sz w:val="19"/>
              </w:rPr>
              <w:t>This is a product and business design document, not medical or legal advice. Clinical protocols, telemedicine practices, pharmacy/medicine fulfilment, diagnostics, facility requirements, advertising claims and data-processing controls must be validated with qualified clinical, legal, regulatory and security professionals before launch.</w:t>
            </w:r>
          </w:p>
        </w:tc>
      </w:tr>
    </w:tbl>
    <w:p>
      <w:pPr>
        <w:spacing w:after="20"/>
      </w:pPr>
    </w:p>
    <w:p>
      <w:pPr>
        <w:spacing w:before="160" w:after="80"/>
      </w:pPr>
      <w:r>
        <w:rPr>
          <w:rFonts w:ascii="Liberation Sans" w:hAnsi="Liberation Sans"/>
          <w:b/>
          <w:color w:val="2D94C6"/>
          <w:sz w:val="26"/>
        </w:rPr>
        <w:t>How to use this document</w:t>
      </w:r>
    </w:p>
    <w:p>
      <w:pPr>
        <w:pStyle w:val="ListBullet"/>
        <w:spacing w:after="40" w:line="259" w:lineRule="auto"/>
      </w:pPr>
      <w:r>
        <w:rPr>
          <w:rFonts w:ascii="Liberation Sans" w:hAnsi="Liberation Sans"/>
          <w:color w:val="34313A"/>
          <w:sz w:val="19"/>
        </w:rPr>
        <w:t>Founders: define the business scope, launch sequence and partner model.</w:t>
      </w:r>
    </w:p>
    <w:p>
      <w:pPr>
        <w:pStyle w:val="ListBullet"/>
        <w:spacing w:after="40" w:line="259" w:lineRule="auto"/>
      </w:pPr>
      <w:r>
        <w:rPr>
          <w:rFonts w:ascii="Liberation Sans" w:hAnsi="Liberation Sans"/>
          <w:color w:val="34313A"/>
          <w:sz w:val="19"/>
        </w:rPr>
        <w:t>Product managers: convert capabilities into epics, stories and acceptance criteria.</w:t>
      </w:r>
    </w:p>
    <w:p>
      <w:pPr>
        <w:pStyle w:val="ListBullet"/>
        <w:spacing w:after="40" w:line="259" w:lineRule="auto"/>
      </w:pPr>
      <w:r>
        <w:rPr>
          <w:rFonts w:ascii="Liberation Sans" w:hAnsi="Liberation Sans"/>
          <w:color w:val="34313A"/>
          <w:sz w:val="19"/>
        </w:rPr>
        <w:t>UX teams: use the journeys and screen inventory to design prototypes.</w:t>
      </w:r>
    </w:p>
    <w:p>
      <w:pPr>
        <w:pStyle w:val="ListBullet"/>
        <w:spacing w:after="40" w:line="259" w:lineRule="auto"/>
      </w:pPr>
      <w:r>
        <w:rPr>
          <w:rFonts w:ascii="Liberation Sans" w:hAnsi="Liberation Sans"/>
          <w:color w:val="34313A"/>
          <w:sz w:val="19"/>
        </w:rPr>
        <w:t>Engineering teams: use the reference architecture, domain model and integrations as a starting point.</w:t>
      </w:r>
    </w:p>
    <w:p>
      <w:pPr>
        <w:pStyle w:val="ListBullet"/>
        <w:spacing w:after="40" w:line="259" w:lineRule="auto"/>
      </w:pPr>
      <w:r>
        <w:rPr>
          <w:rFonts w:ascii="Liberation Sans" w:hAnsi="Liberation Sans"/>
          <w:color w:val="34313A"/>
          <w:sz w:val="19"/>
        </w:rPr>
        <w:t>Clinical and compliance teams: review the points explicitly marked for policy, clinical or regulatory validation.</w:t>
      </w:r>
    </w:p>
    <w:p>
      <w:pPr>
        <w:spacing w:before="160" w:after="80"/>
      </w:pPr>
      <w:r>
        <w:rPr>
          <w:rFonts w:ascii="Liberation Sans" w:hAnsi="Liberation Sans"/>
          <w:b/>
          <w:color w:val="2D94C6"/>
          <w:sz w:val="26"/>
        </w:rPr>
        <w:t>Table of contents</w:t>
      </w:r>
    </w:p>
    <w:p>
      <w:pPr>
        <w:spacing w:after="40" w:before="0" w:line="269" w:lineRule="auto"/>
      </w:pPr>
      <w:r>
        <w:rPr>
          <w:rFonts w:ascii="Liberation Sans" w:hAnsi="Liberation Sans"/>
          <w:b w:val="0"/>
          <w:color w:val="34313A"/>
          <w:sz w:val="19"/>
        </w:rPr>
        <w:t>1. Executive Summary</w:t>
      </w:r>
    </w:p>
    <w:p>
      <w:pPr>
        <w:spacing w:after="40" w:before="0" w:line="269" w:lineRule="auto"/>
      </w:pPr>
      <w:r>
        <w:rPr>
          <w:rFonts w:ascii="Liberation Sans" w:hAnsi="Liberation Sans"/>
          <w:b w:val="0"/>
          <w:color w:val="34313A"/>
          <w:sz w:val="19"/>
        </w:rPr>
        <w:t>2. Product Vision &amp; Market Positioning</w:t>
      </w:r>
    </w:p>
    <w:p>
      <w:pPr>
        <w:spacing w:after="40" w:before="0" w:line="269" w:lineRule="auto"/>
      </w:pPr>
      <w:r>
        <w:rPr>
          <w:rFonts w:ascii="Liberation Sans" w:hAnsi="Liberation Sans"/>
          <w:b w:val="0"/>
          <w:color w:val="34313A"/>
          <w:sz w:val="19"/>
        </w:rPr>
        <w:t>3. Problem Definition &amp; Design Principles</w:t>
      </w:r>
    </w:p>
    <w:p>
      <w:pPr>
        <w:spacing w:after="40" w:before="0" w:line="269" w:lineRule="auto"/>
      </w:pPr>
      <w:r>
        <w:rPr>
          <w:rFonts w:ascii="Liberation Sans" w:hAnsi="Liberation Sans"/>
          <w:b w:val="0"/>
          <w:color w:val="34313A"/>
          <w:sz w:val="19"/>
        </w:rPr>
        <w:t>4. Ecosystem &amp; Personas</w:t>
      </w:r>
    </w:p>
    <w:p>
      <w:pPr>
        <w:spacing w:after="40" w:before="0" w:line="269" w:lineRule="auto"/>
      </w:pPr>
      <w:r>
        <w:rPr>
          <w:rFonts w:ascii="Liberation Sans" w:hAnsi="Liberation Sans"/>
          <w:b w:val="0"/>
          <w:color w:val="34313A"/>
          <w:sz w:val="19"/>
        </w:rPr>
        <w:t>5. Patient Journey</w:t>
      </w:r>
    </w:p>
    <w:p>
      <w:pPr>
        <w:spacing w:after="40" w:before="0" w:line="269" w:lineRule="auto"/>
      </w:pPr>
      <w:r>
        <w:rPr>
          <w:rFonts w:ascii="Liberation Sans" w:hAnsi="Liberation Sans"/>
          <w:b w:val="0"/>
          <w:color w:val="34313A"/>
          <w:sz w:val="19"/>
        </w:rPr>
        <w:t>6. Doctor / Vaidya Journey</w:t>
      </w:r>
    </w:p>
    <w:p>
      <w:pPr>
        <w:spacing w:after="40" w:before="0" w:line="269" w:lineRule="auto"/>
      </w:pPr>
      <w:r>
        <w:rPr>
          <w:rFonts w:ascii="Liberation Sans" w:hAnsi="Liberation Sans"/>
          <w:b w:val="0"/>
          <w:color w:val="34313A"/>
          <w:sz w:val="19"/>
        </w:rPr>
        <w:t>7. Panchakarma Centre Journey</w:t>
      </w:r>
    </w:p>
    <w:p>
      <w:pPr>
        <w:spacing w:after="40" w:before="0" w:line="269" w:lineRule="auto"/>
      </w:pPr>
      <w:r>
        <w:rPr>
          <w:rFonts w:ascii="Liberation Sans" w:hAnsi="Liberation Sans"/>
          <w:b w:val="0"/>
          <w:color w:val="34313A"/>
          <w:sz w:val="19"/>
        </w:rPr>
        <w:t>8. Diagnostic Lab Journey</w:t>
      </w:r>
    </w:p>
    <w:p>
      <w:pPr>
        <w:spacing w:after="40" w:before="0" w:line="269" w:lineRule="auto"/>
      </w:pPr>
      <w:r>
        <w:rPr>
          <w:rFonts w:ascii="Liberation Sans" w:hAnsi="Liberation Sans"/>
          <w:b w:val="0"/>
          <w:color w:val="34313A"/>
          <w:sz w:val="19"/>
        </w:rPr>
        <w:t>9. Pharmacy Journey</w:t>
      </w:r>
    </w:p>
    <w:p>
      <w:pPr>
        <w:spacing w:after="40" w:before="0" w:line="269" w:lineRule="auto"/>
      </w:pPr>
      <w:r>
        <w:rPr>
          <w:rFonts w:ascii="Liberation Sans" w:hAnsi="Liberation Sans"/>
          <w:b w:val="0"/>
          <w:color w:val="34313A"/>
          <w:sz w:val="19"/>
        </w:rPr>
        <w:t>10. Admin &amp; Operations Journey</w:t>
      </w:r>
    </w:p>
    <w:p>
      <w:pPr>
        <w:spacing w:after="40" w:before="0" w:line="269" w:lineRule="auto"/>
      </w:pPr>
      <w:r>
        <w:rPr>
          <w:rFonts w:ascii="Liberation Sans" w:hAnsi="Liberation Sans"/>
          <w:b w:val="0"/>
          <w:color w:val="34313A"/>
          <w:sz w:val="19"/>
        </w:rPr>
        <w:t>11. Application Modules &amp; Screen Inventory</w:t>
      </w:r>
    </w:p>
    <w:p>
      <w:pPr>
        <w:spacing w:after="40" w:before="0" w:line="269" w:lineRule="auto"/>
      </w:pPr>
      <w:r>
        <w:rPr>
          <w:rFonts w:ascii="Liberation Sans" w:hAnsi="Liberation Sans"/>
          <w:b w:val="0"/>
          <w:color w:val="34313A"/>
          <w:sz w:val="19"/>
        </w:rPr>
        <w:t>12. Care Plan Engine</w:t>
      </w:r>
    </w:p>
    <w:p>
      <w:pPr>
        <w:spacing w:after="40" w:before="0" w:line="269" w:lineRule="auto"/>
      </w:pPr>
      <w:r>
        <w:rPr>
          <w:rFonts w:ascii="Liberation Sans" w:hAnsi="Liberation Sans"/>
          <w:b w:val="0"/>
          <w:color w:val="34313A"/>
          <w:sz w:val="19"/>
        </w:rPr>
        <w:t>13. Core Workflows</w:t>
      </w:r>
    </w:p>
    <w:p>
      <w:pPr>
        <w:spacing w:after="40" w:before="0" w:line="269" w:lineRule="auto"/>
      </w:pPr>
      <w:r>
        <w:rPr>
          <w:rFonts w:ascii="Liberation Sans" w:hAnsi="Liberation Sans"/>
          <w:b w:val="0"/>
          <w:color w:val="34313A"/>
          <w:sz w:val="19"/>
        </w:rPr>
        <w:t>14. Trust, Quality &amp; Credential Verification</w:t>
      </w:r>
    </w:p>
    <w:p>
      <w:pPr>
        <w:spacing w:after="40" w:before="0" w:line="269" w:lineRule="auto"/>
      </w:pPr>
      <w:r>
        <w:rPr>
          <w:rFonts w:ascii="Liberation Sans" w:hAnsi="Liberation Sans"/>
          <w:b w:val="0"/>
          <w:color w:val="34313A"/>
          <w:sz w:val="19"/>
        </w:rPr>
        <w:t>15. Data, Consent, ABDM &amp; Security</w:t>
      </w:r>
    </w:p>
    <w:p>
      <w:pPr>
        <w:spacing w:after="40" w:before="0" w:line="269" w:lineRule="auto"/>
      </w:pPr>
      <w:r>
        <w:rPr>
          <w:rFonts w:ascii="Liberation Sans" w:hAnsi="Liberation Sans"/>
          <w:b w:val="0"/>
          <w:color w:val="34313A"/>
          <w:sz w:val="19"/>
        </w:rPr>
        <w:t>16. AI &amp; Automation</w:t>
      </w:r>
    </w:p>
    <w:p>
      <w:pPr>
        <w:spacing w:after="40" w:before="0" w:line="269" w:lineRule="auto"/>
      </w:pPr>
      <w:r>
        <w:rPr>
          <w:rFonts w:ascii="Liberation Sans" w:hAnsi="Liberation Sans"/>
          <w:b w:val="0"/>
          <w:color w:val="34313A"/>
          <w:sz w:val="19"/>
        </w:rPr>
        <w:t>17. Business Model &amp; Commercial Mechanics</w:t>
      </w:r>
    </w:p>
    <w:p>
      <w:pPr>
        <w:spacing w:after="40" w:before="0" w:line="269" w:lineRule="auto"/>
      </w:pPr>
      <w:r>
        <w:rPr>
          <w:rFonts w:ascii="Liberation Sans" w:hAnsi="Liberation Sans"/>
          <w:b w:val="0"/>
          <w:color w:val="34313A"/>
          <w:sz w:val="19"/>
        </w:rPr>
        <w:t>18. Reference Technical Architecture</w:t>
      </w:r>
    </w:p>
    <w:p>
      <w:pPr>
        <w:spacing w:after="40" w:before="0" w:line="269" w:lineRule="auto"/>
      </w:pPr>
      <w:r>
        <w:rPr>
          <w:rFonts w:ascii="Liberation Sans" w:hAnsi="Liberation Sans"/>
          <w:b w:val="0"/>
          <w:color w:val="34313A"/>
          <w:sz w:val="19"/>
        </w:rPr>
        <w:t>19. Data Model &amp; Integrations</w:t>
      </w:r>
    </w:p>
    <w:p>
      <w:pPr>
        <w:spacing w:after="40" w:before="0" w:line="269" w:lineRule="auto"/>
      </w:pPr>
      <w:r>
        <w:rPr>
          <w:rFonts w:ascii="Liberation Sans" w:hAnsi="Liberation Sans"/>
          <w:b w:val="0"/>
          <w:color w:val="34313A"/>
          <w:sz w:val="19"/>
        </w:rPr>
        <w:t>20. MVP and Release Roadmap</w:t>
      </w:r>
    </w:p>
    <w:p>
      <w:pPr>
        <w:spacing w:after="40" w:before="0" w:line="269" w:lineRule="auto"/>
      </w:pPr>
      <w:r>
        <w:rPr>
          <w:rFonts w:ascii="Liberation Sans" w:hAnsi="Liberation Sans"/>
          <w:b w:val="0"/>
          <w:color w:val="34313A"/>
          <w:sz w:val="19"/>
        </w:rPr>
        <w:t>21. Operating Model &amp; KPIs</w:t>
      </w:r>
    </w:p>
    <w:p>
      <w:pPr>
        <w:spacing w:after="40" w:before="0" w:line="269" w:lineRule="auto"/>
      </w:pPr>
      <w:r>
        <w:rPr>
          <w:rFonts w:ascii="Liberation Sans" w:hAnsi="Liberation Sans"/>
          <w:b w:val="0"/>
          <w:color w:val="34313A"/>
          <w:sz w:val="19"/>
        </w:rPr>
        <w:t>22. Risks &amp; Mitigations</w:t>
      </w:r>
    </w:p>
    <w:p>
      <w:pPr>
        <w:spacing w:after="40" w:before="0" w:line="269" w:lineRule="auto"/>
      </w:pPr>
      <w:r>
        <w:rPr>
          <w:rFonts w:ascii="Liberation Sans" w:hAnsi="Liberation Sans"/>
          <w:b w:val="0"/>
          <w:color w:val="34313A"/>
          <w:sz w:val="19"/>
        </w:rPr>
        <w:t>23. Competitive Positioning</w:t>
      </w:r>
    </w:p>
    <w:p>
      <w:pPr>
        <w:spacing w:after="40" w:before="0" w:line="269" w:lineRule="auto"/>
      </w:pPr>
      <w:r>
        <w:rPr>
          <w:rFonts w:ascii="Liberation Sans" w:hAnsi="Liberation Sans"/>
          <w:b w:val="0"/>
          <w:color w:val="34313A"/>
          <w:sz w:val="19"/>
        </w:rPr>
        <w:t>24. Example End-to-End Scenario</w:t>
      </w:r>
    </w:p>
    <w:p>
      <w:pPr>
        <w:spacing w:after="40" w:before="0" w:line="269" w:lineRule="auto"/>
      </w:pPr>
      <w:r>
        <w:rPr>
          <w:rFonts w:ascii="Liberation Sans" w:hAnsi="Liberation Sans"/>
          <w:b w:val="0"/>
          <w:color w:val="34313A"/>
          <w:sz w:val="19"/>
        </w:rPr>
        <w:t>25. Launch Plan</w:t>
      </w:r>
    </w:p>
    <w:p>
      <w:pPr>
        <w:spacing w:after="40" w:before="0" w:line="269" w:lineRule="auto"/>
      </w:pPr>
      <w:r>
        <w:rPr>
          <w:rFonts w:ascii="Liberation Sans" w:hAnsi="Liberation Sans"/>
          <w:b w:val="0"/>
          <w:color w:val="34313A"/>
          <w:sz w:val="19"/>
        </w:rPr>
        <w:t>26. References</w:t>
      </w:r>
    </w:p>
    <w:p>
      <w:pPr>
        <w:spacing w:before="120" w:after="40"/>
      </w:pPr>
      <w:r>
        <w:rPr>
          <w:rFonts w:ascii="Liberation Sans" w:hAnsi="Liberation Sans"/>
          <w:b/>
          <w:color w:val="812A86"/>
          <w:sz w:val="40"/>
        </w:rPr>
        <w:t>1. Executive Summary</w:t>
      </w:r>
    </w:p>
    <w:p>
      <w:pPr>
        <w:spacing w:after="180"/>
      </w:pPr>
      <w:r>
        <w:rPr>
          <w:rFonts w:ascii="Liberation Sans" w:hAnsi="Liberation Sans"/>
          <w:color w:val="6B6470"/>
          <w:sz w:val="19"/>
        </w:rPr>
        <w:t>The product is a care network, not a single-service marketplace.</w:t>
      </w:r>
    </w:p>
    <w:p>
      <w:pPr>
        <w:spacing w:after="100" w:before="0" w:line="269" w:lineRule="auto"/>
      </w:pPr>
      <w:r>
        <w:rPr>
          <w:rFonts w:ascii="Liberation Sans" w:hAnsi="Liberation Sans"/>
          <w:b w:val="0"/>
          <w:color w:val="34313A"/>
          <w:sz w:val="20"/>
        </w:rPr>
        <w:t>The proposed platform unifies the fragmented Ayurveda treatment journey into one digital experience. Patients can discover and consult verified practitioners, receive structured treatment plans, book clinically appropriate diagnostic tests, obtain prescribed medicines, schedule Panchakarma or other supported therapies, and remain connected through follow-up and outcome tracking.</w:t>
      </w:r>
    </w:p>
    <w:tbl>
      <w:tblPr>
        <w:tblStyle w:val="TableGrid"/>
        <w:tblW w:type="auto" w:w="0"/>
        <w:jc w:val="center"/>
        <w:tblLook w:firstColumn="1" w:firstRow="1" w:lastColumn="0" w:lastRow="0" w:noHBand="0" w:noVBand="1" w:val="04A0"/>
      </w:tblPr>
      <w:tblGrid>
        <w:gridCol w:w="5040"/>
        <w:gridCol w:w="5040"/>
      </w:tblGrid>
      <w:tr>
        <w:tc>
          <w:tcPr>
            <w:tcW w:type="dxa" w:w="2160"/>
            <w:shd w:fill="812A86"/>
            <w:tcMar>
              <w:top w:w="90" w:type="dxa"/>
              <w:start w:w="90" w:type="dxa"/>
              <w:bottom w:w="90" w:type="dxa"/>
              <w:end w:w="90" w:type="dxa"/>
            </w:tcMar>
            <w:vAlign w:val="center"/>
          </w:tcPr>
          <w:p>
            <w:pPr>
              <w:jc w:val="center"/>
            </w:pPr>
            <w:r>
              <w:rPr>
                <w:rFonts w:ascii="Liberation Sans" w:hAnsi="Liberation Sans"/>
                <w:b/>
                <w:color w:val="FFFFFF"/>
                <w:sz w:val="17"/>
              </w:rPr>
              <w:t>Dimension</w:t>
            </w:r>
          </w:p>
        </w:tc>
        <w:tc>
          <w:tcPr>
            <w:tcW w:type="dxa" w:w="7200"/>
            <w:shd w:fill="812A86"/>
            <w:tcMar>
              <w:top w:w="90" w:type="dxa"/>
              <w:start w:w="90" w:type="dxa"/>
              <w:bottom w:w="90" w:type="dxa"/>
              <w:end w:w="90" w:type="dxa"/>
            </w:tcMar>
            <w:vAlign w:val="center"/>
          </w:tcPr>
          <w:p>
            <w:pPr>
              <w:jc w:val="center"/>
            </w:pPr>
            <w:r>
              <w:rPr>
                <w:rFonts w:ascii="Liberation Sans" w:hAnsi="Liberation Sans"/>
                <w:b/>
                <w:color w:val="FFFFFF"/>
                <w:sz w:val="17"/>
              </w:rPr>
              <w:t>Blueprint decision</w:t>
            </w:r>
          </w:p>
        </w:tc>
      </w:tr>
      <w:tr>
        <w:tc>
          <w:tcPr>
            <w:tcW w:type="dxa" w:w="2160"/>
            <w:tcMar>
              <w:top w:w="75" w:type="dxa"/>
              <w:start w:w="80" w:type="dxa"/>
              <w:bottom w:w="75" w:type="dxa"/>
              <w:end w:w="80" w:type="dxa"/>
            </w:tcMar>
            <w:vAlign w:val="center"/>
          </w:tcPr>
          <w:p>
            <w:r>
              <w:rPr>
                <w:rFonts w:ascii="Liberation Sans" w:hAnsi="Liberation Sans"/>
                <w:color w:val="34313A"/>
                <w:sz w:val="17"/>
              </w:rPr>
              <w:t>Primary promise</w:t>
            </w:r>
          </w:p>
        </w:tc>
        <w:tc>
          <w:tcPr>
            <w:tcW w:type="dxa" w:w="7200"/>
            <w:tcMar>
              <w:top w:w="75" w:type="dxa"/>
              <w:start w:w="80" w:type="dxa"/>
              <w:bottom w:w="75" w:type="dxa"/>
              <w:end w:w="80" w:type="dxa"/>
            </w:tcMar>
            <w:vAlign w:val="center"/>
          </w:tcPr>
          <w:p>
            <w:r>
              <w:rPr>
                <w:rFonts w:ascii="Liberation Sans" w:hAnsi="Liberation Sans"/>
                <w:color w:val="34313A"/>
                <w:sz w:val="17"/>
              </w:rPr>
              <w:t>Trusted, coordinated Ayurveda care from consultation to follow-up.</w:t>
            </w:r>
          </w:p>
        </w:tc>
      </w:tr>
      <w:tr>
        <w:tc>
          <w:tcPr>
            <w:tcW w:type="dxa" w:w="2160"/>
            <w:tcMar>
              <w:top w:w="75" w:type="dxa"/>
              <w:start w:w="80" w:type="dxa"/>
              <w:bottom w:w="75" w:type="dxa"/>
              <w:end w:w="80" w:type="dxa"/>
            </w:tcMar>
            <w:vAlign w:val="center"/>
            <w:shd w:fill="FAF8FB"/>
          </w:tcPr>
          <w:p>
            <w:r>
              <w:rPr>
                <w:rFonts w:ascii="Liberation Sans" w:hAnsi="Liberation Sans"/>
                <w:color w:val="34313A"/>
                <w:sz w:val="17"/>
              </w:rPr>
              <w:t>Core differentiator</w:t>
            </w:r>
          </w:p>
        </w:tc>
        <w:tc>
          <w:tcPr>
            <w:tcW w:type="dxa" w:w="7200"/>
            <w:tcMar>
              <w:top w:w="75" w:type="dxa"/>
              <w:start w:w="80" w:type="dxa"/>
              <w:bottom w:w="75" w:type="dxa"/>
              <w:end w:w="80" w:type="dxa"/>
            </w:tcMar>
            <w:vAlign w:val="center"/>
            <w:shd w:fill="FAF8FB"/>
          </w:tcPr>
          <w:p>
            <w:r>
              <w:rPr>
                <w:rFonts w:ascii="Liberation Sans" w:hAnsi="Liberation Sans"/>
                <w:color w:val="34313A"/>
                <w:sz w:val="17"/>
              </w:rPr>
              <w:t>A longitudinal Care Plan that connects multiple providers around one patient journey.</w:t>
            </w:r>
          </w:p>
        </w:tc>
      </w:tr>
      <w:tr>
        <w:tc>
          <w:tcPr>
            <w:tcW w:type="dxa" w:w="2160"/>
            <w:tcMar>
              <w:top w:w="75" w:type="dxa"/>
              <w:start w:w="80" w:type="dxa"/>
              <w:bottom w:w="75" w:type="dxa"/>
              <w:end w:w="80" w:type="dxa"/>
            </w:tcMar>
            <w:vAlign w:val="center"/>
          </w:tcPr>
          <w:p>
            <w:r>
              <w:rPr>
                <w:rFonts w:ascii="Liberation Sans" w:hAnsi="Liberation Sans"/>
                <w:color w:val="34313A"/>
                <w:sz w:val="17"/>
              </w:rPr>
              <w:t>Primary users</w:t>
            </w:r>
          </w:p>
        </w:tc>
        <w:tc>
          <w:tcPr>
            <w:tcW w:type="dxa" w:w="7200"/>
            <w:tcMar>
              <w:top w:w="75" w:type="dxa"/>
              <w:start w:w="80" w:type="dxa"/>
              <w:bottom w:w="75" w:type="dxa"/>
              <w:end w:w="80" w:type="dxa"/>
            </w:tcMar>
            <w:vAlign w:val="center"/>
          </w:tcPr>
          <w:p>
            <w:r>
              <w:rPr>
                <w:rFonts w:ascii="Liberation Sans" w:hAnsi="Liberation Sans"/>
                <w:color w:val="34313A"/>
                <w:sz w:val="17"/>
              </w:rPr>
              <w:t>Patients/families, registered Ayurveda practitioners, clinics, Panchakarma centres, labs, pharmacies and platform operations.</w:t>
            </w:r>
          </w:p>
        </w:tc>
      </w:tr>
      <w:tr>
        <w:tc>
          <w:tcPr>
            <w:tcW w:type="dxa" w:w="2160"/>
            <w:tcMar>
              <w:top w:w="75" w:type="dxa"/>
              <w:start w:w="80" w:type="dxa"/>
              <w:bottom w:w="75" w:type="dxa"/>
              <w:end w:w="80" w:type="dxa"/>
            </w:tcMar>
            <w:vAlign w:val="center"/>
            <w:shd w:fill="FAF8FB"/>
          </w:tcPr>
          <w:p>
            <w:r>
              <w:rPr>
                <w:rFonts w:ascii="Liberation Sans" w:hAnsi="Liberation Sans"/>
                <w:color w:val="34313A"/>
                <w:sz w:val="17"/>
              </w:rPr>
              <w:t>Business model</w:t>
            </w:r>
          </w:p>
        </w:tc>
        <w:tc>
          <w:tcPr>
            <w:tcW w:type="dxa" w:w="7200"/>
            <w:tcMar>
              <w:top w:w="75" w:type="dxa"/>
              <w:start w:w="80" w:type="dxa"/>
              <w:bottom w:w="75" w:type="dxa"/>
              <w:end w:w="80" w:type="dxa"/>
            </w:tcMar>
            <w:vAlign w:val="center"/>
            <w:shd w:fill="FAF8FB"/>
          </w:tcPr>
          <w:p>
            <w:r>
              <w:rPr>
                <w:rFonts w:ascii="Liberation Sans" w:hAnsi="Liberation Sans"/>
                <w:color w:val="34313A"/>
                <w:sz w:val="17"/>
              </w:rPr>
              <w:t>Marketplace + SaaS + fulfilment/service fees, while protecting clinical independence.</w:t>
            </w:r>
          </w:p>
        </w:tc>
      </w:tr>
      <w:tr>
        <w:tc>
          <w:tcPr>
            <w:tcW w:type="dxa" w:w="2160"/>
            <w:tcMar>
              <w:top w:w="75" w:type="dxa"/>
              <w:start w:w="80" w:type="dxa"/>
              <w:bottom w:w="75" w:type="dxa"/>
              <w:end w:w="80" w:type="dxa"/>
            </w:tcMar>
            <w:vAlign w:val="center"/>
          </w:tcPr>
          <w:p>
            <w:r>
              <w:rPr>
                <w:rFonts w:ascii="Liberation Sans" w:hAnsi="Liberation Sans"/>
                <w:color w:val="34313A"/>
                <w:sz w:val="17"/>
              </w:rPr>
              <w:t>Launch strategy</w:t>
            </w:r>
          </w:p>
        </w:tc>
        <w:tc>
          <w:tcPr>
            <w:tcW w:type="dxa" w:w="7200"/>
            <w:tcMar>
              <w:top w:w="75" w:type="dxa"/>
              <w:start w:w="80" w:type="dxa"/>
              <w:bottom w:w="75" w:type="dxa"/>
              <w:end w:w="80" w:type="dxa"/>
            </w:tcMar>
            <w:vAlign w:val="center"/>
          </w:tcPr>
          <w:p>
            <w:r>
              <w:rPr>
                <w:rFonts w:ascii="Liberation Sans" w:hAnsi="Liberation Sans"/>
                <w:color w:val="34313A"/>
                <w:sz w:val="17"/>
              </w:rPr>
              <w:t>Start with consultation + records + prescription + medicine fulfilment; add diagnostics and Panchakarma in controlled phases.</w:t>
            </w:r>
          </w:p>
        </w:tc>
      </w:tr>
      <w:tr>
        <w:tc>
          <w:tcPr>
            <w:tcW w:type="dxa" w:w="2160"/>
            <w:tcMar>
              <w:top w:w="75" w:type="dxa"/>
              <w:start w:w="80" w:type="dxa"/>
              <w:bottom w:w="75" w:type="dxa"/>
              <w:end w:w="80" w:type="dxa"/>
            </w:tcMar>
            <w:vAlign w:val="center"/>
            <w:shd w:fill="FAF8FB"/>
          </w:tcPr>
          <w:p>
            <w:r>
              <w:rPr>
                <w:rFonts w:ascii="Liberation Sans" w:hAnsi="Liberation Sans"/>
                <w:color w:val="34313A"/>
                <w:sz w:val="17"/>
              </w:rPr>
              <w:t>Technology direction</w:t>
            </w:r>
          </w:p>
        </w:tc>
        <w:tc>
          <w:tcPr>
            <w:tcW w:type="dxa" w:w="7200"/>
            <w:tcMar>
              <w:top w:w="75" w:type="dxa"/>
              <w:start w:w="80" w:type="dxa"/>
              <w:bottom w:w="75" w:type="dxa"/>
              <w:end w:w="80" w:type="dxa"/>
            </w:tcMar>
            <w:vAlign w:val="center"/>
            <w:shd w:fill="FAF8FB"/>
          </w:tcPr>
          <w:p>
            <w:r>
              <w:rPr>
                <w:rFonts w:ascii="Liberation Sans" w:hAnsi="Liberation Sans"/>
                <w:color w:val="34313A"/>
                <w:sz w:val="17"/>
              </w:rPr>
              <w:t>Modular API-first platform with consent, audit, identity, workflow and interoperable health-record capabilities.</w:t>
            </w:r>
          </w:p>
        </w:tc>
      </w:tr>
      <w:tr>
        <w:tc>
          <w:tcPr>
            <w:tcW w:type="dxa" w:w="2160"/>
            <w:tcMar>
              <w:top w:w="75" w:type="dxa"/>
              <w:start w:w="80" w:type="dxa"/>
              <w:bottom w:w="75" w:type="dxa"/>
              <w:end w:w="80" w:type="dxa"/>
            </w:tcMar>
            <w:vAlign w:val="center"/>
          </w:tcPr>
          <w:p>
            <w:r>
              <w:rPr>
                <w:rFonts w:ascii="Liberation Sans" w:hAnsi="Liberation Sans"/>
                <w:color w:val="34313A"/>
                <w:sz w:val="17"/>
              </w:rPr>
              <w:t>Trust strategy</w:t>
            </w:r>
          </w:p>
        </w:tc>
        <w:tc>
          <w:tcPr>
            <w:tcW w:type="dxa" w:w="7200"/>
            <w:tcMar>
              <w:top w:w="75" w:type="dxa"/>
              <w:start w:w="80" w:type="dxa"/>
              <w:bottom w:w="75" w:type="dxa"/>
              <w:end w:w="80" w:type="dxa"/>
            </w:tcMar>
            <w:vAlign w:val="center"/>
          </w:tcPr>
          <w:p>
            <w:r>
              <w:rPr>
                <w:rFonts w:ascii="Liberation Sans" w:hAnsi="Liberation Sans"/>
                <w:color w:val="34313A"/>
                <w:sz w:val="17"/>
              </w:rPr>
              <w:t>Credential verification, partner quality controls, traceable orders, complaint management and explicit clinical ownership.</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10080"/>
            <w:shd w:fill="F5ECF7"/>
            <w:tcMar>
              <w:top w:w="150" w:type="dxa"/>
              <w:start w:w="180" w:type="dxa"/>
              <w:bottom w:w="150" w:type="dxa"/>
              <w:end w:w="180" w:type="dxa"/>
            </w:tcMar>
          </w:tcPr>
          <w:p>
            <w:r>
              <w:rPr>
                <w:rFonts w:ascii="Liberation Sans" w:hAnsi="Liberation Sans"/>
                <w:b/>
                <w:color w:val="2D94C6"/>
                <w:sz w:val="20"/>
              </w:rPr>
              <w:t>North-star concept</w:t>
              <w:br/>
            </w:r>
            <w:r>
              <w:rPr>
                <w:rFonts w:ascii="Liberation Sans" w:hAnsi="Liberation Sans"/>
                <w:color w:val="34313A"/>
                <w:sz w:val="19"/>
              </w:rPr>
              <w:t>One patient. One treatment timeline. Multiple verified providers. A single coordinated care plan.</w:t>
            </w:r>
          </w:p>
        </w:tc>
      </w:tr>
    </w:tbl>
    <w:p>
      <w:pPr>
        <w:spacing w:after="20"/>
      </w:pPr>
    </w:p>
    <w:p>
      <w:pPr>
        <w:spacing w:before="120" w:after="40"/>
      </w:pPr>
      <w:r>
        <w:rPr>
          <w:rFonts w:ascii="Liberation Sans" w:hAnsi="Liberation Sans"/>
          <w:b/>
          <w:color w:val="812A86"/>
          <w:sz w:val="40"/>
        </w:rPr>
        <w:t>2. Product Vision &amp; Market Positioning</w:t>
      </w:r>
    </w:p>
    <w:p>
      <w:pPr>
        <w:spacing w:before="160" w:after="80"/>
      </w:pPr>
      <w:r>
        <w:rPr>
          <w:rFonts w:ascii="Liberation Sans" w:hAnsi="Liberation Sans"/>
          <w:b/>
          <w:color w:val="2D94C6"/>
          <w:sz w:val="26"/>
        </w:rPr>
        <w:t>Vision</w:t>
      </w:r>
    </w:p>
    <w:p>
      <w:pPr>
        <w:spacing w:after="100" w:before="0" w:line="269" w:lineRule="auto"/>
      </w:pPr>
      <w:r>
        <w:rPr>
          <w:rFonts w:ascii="Liberation Sans" w:hAnsi="Liberation Sans"/>
          <w:b w:val="0"/>
          <w:color w:val="34313A"/>
          <w:sz w:val="21"/>
        </w:rPr>
        <w:t>Create India’s trusted digital infrastructure for Ayurveda care, enabling independent practitioners and verified service partners to deliver a connected, transparent and measurable patient experience.</w:t>
      </w:r>
    </w:p>
    <w:p>
      <w:pPr>
        <w:spacing w:before="160" w:after="80"/>
      </w:pPr>
      <w:r>
        <w:rPr>
          <w:rFonts w:ascii="Liberation Sans" w:hAnsi="Liberation Sans"/>
          <w:b/>
          <w:color w:val="2D94C6"/>
          <w:sz w:val="26"/>
        </w:rPr>
        <w:t>What the platform is</w:t>
      </w:r>
    </w:p>
    <w:p>
      <w:pPr>
        <w:pStyle w:val="ListBullet"/>
        <w:spacing w:after="40" w:line="259" w:lineRule="auto"/>
      </w:pPr>
      <w:r>
        <w:rPr>
          <w:rFonts w:ascii="Liberation Sans" w:hAnsi="Liberation Sans"/>
          <w:color w:val="34313A"/>
          <w:sz w:val="19"/>
        </w:rPr>
        <w:t>A patient-facing care marketplace and health journey application.</w:t>
      </w:r>
    </w:p>
    <w:p>
      <w:pPr>
        <w:pStyle w:val="ListBullet"/>
        <w:spacing w:after="40" w:line="259" w:lineRule="auto"/>
      </w:pPr>
      <w:r>
        <w:rPr>
          <w:rFonts w:ascii="Liberation Sans" w:hAnsi="Liberation Sans"/>
          <w:color w:val="34313A"/>
          <w:sz w:val="19"/>
        </w:rPr>
        <w:t>A practitioner clinical workflow and clinic operating system.</w:t>
      </w:r>
    </w:p>
    <w:p>
      <w:pPr>
        <w:pStyle w:val="ListBullet"/>
        <w:spacing w:after="40" w:line="259" w:lineRule="auto"/>
      </w:pPr>
      <w:r>
        <w:rPr>
          <w:rFonts w:ascii="Liberation Sans" w:hAnsi="Liberation Sans"/>
          <w:color w:val="34313A"/>
          <w:sz w:val="19"/>
        </w:rPr>
        <w:t>A referral and session-management network for Panchakarma facilities.</w:t>
      </w:r>
    </w:p>
    <w:p>
      <w:pPr>
        <w:pStyle w:val="ListBullet"/>
        <w:spacing w:after="40" w:line="259" w:lineRule="auto"/>
      </w:pPr>
      <w:r>
        <w:rPr>
          <w:rFonts w:ascii="Liberation Sans" w:hAnsi="Liberation Sans"/>
          <w:color w:val="34313A"/>
          <w:sz w:val="19"/>
        </w:rPr>
        <w:t>A fulfilment layer for prescribed Ayurveda medicines.</w:t>
      </w:r>
    </w:p>
    <w:p>
      <w:pPr>
        <w:pStyle w:val="ListBullet"/>
        <w:spacing w:after="40" w:line="259" w:lineRule="auto"/>
      </w:pPr>
      <w:r>
        <w:rPr>
          <w:rFonts w:ascii="Liberation Sans" w:hAnsi="Liberation Sans"/>
          <w:color w:val="34313A"/>
          <w:sz w:val="19"/>
        </w:rPr>
        <w:t>A diagnostic-order and result-routing layer where tests are clinically appropriate.</w:t>
      </w:r>
    </w:p>
    <w:p>
      <w:pPr>
        <w:pStyle w:val="ListBullet"/>
        <w:spacing w:after="40" w:line="259" w:lineRule="auto"/>
      </w:pPr>
      <w:r>
        <w:rPr>
          <w:rFonts w:ascii="Liberation Sans" w:hAnsi="Liberation Sans"/>
          <w:color w:val="34313A"/>
          <w:sz w:val="19"/>
        </w:rPr>
        <w:t>A trust, consent, records and payments layer across all participants.</w:t>
      </w:r>
    </w:p>
    <w:p>
      <w:pPr>
        <w:spacing w:before="160" w:after="80"/>
      </w:pPr>
      <w:r>
        <w:rPr>
          <w:rFonts w:ascii="Liberation Sans" w:hAnsi="Liberation Sans"/>
          <w:b/>
          <w:color w:val="2D94C6"/>
          <w:sz w:val="26"/>
        </w:rPr>
        <w:t>What the platform should not become</w:t>
      </w:r>
    </w:p>
    <w:p>
      <w:pPr>
        <w:pStyle w:val="ListBullet"/>
        <w:spacing w:after="40" w:line="259" w:lineRule="auto"/>
      </w:pPr>
      <w:r>
        <w:rPr>
          <w:rFonts w:ascii="Liberation Sans" w:hAnsi="Liberation Sans"/>
          <w:color w:val="34313A"/>
          <w:sz w:val="19"/>
        </w:rPr>
        <w:t>A marketplace that ranks providers only by commission paid.</w:t>
      </w:r>
    </w:p>
    <w:p>
      <w:pPr>
        <w:pStyle w:val="ListBullet"/>
        <w:spacing w:after="40" w:line="259" w:lineRule="auto"/>
      </w:pPr>
      <w:r>
        <w:rPr>
          <w:rFonts w:ascii="Liberation Sans" w:hAnsi="Liberation Sans"/>
          <w:color w:val="34313A"/>
          <w:sz w:val="19"/>
        </w:rPr>
        <w:t>An AI system that diagnoses or prescribes without an accountable qualified practitioner.</w:t>
      </w:r>
    </w:p>
    <w:p>
      <w:pPr>
        <w:pStyle w:val="ListBullet"/>
        <w:spacing w:after="40" w:line="259" w:lineRule="auto"/>
      </w:pPr>
      <w:r>
        <w:rPr>
          <w:rFonts w:ascii="Liberation Sans" w:hAnsi="Liberation Sans"/>
          <w:color w:val="34313A"/>
          <w:sz w:val="19"/>
        </w:rPr>
        <w:t>A supplement shop disguised as a medical consultation product.</w:t>
      </w:r>
    </w:p>
    <w:p>
      <w:pPr>
        <w:pStyle w:val="ListBullet"/>
        <w:spacing w:after="40" w:line="259" w:lineRule="auto"/>
      </w:pPr>
      <w:r>
        <w:rPr>
          <w:rFonts w:ascii="Liberation Sans" w:hAnsi="Liberation Sans"/>
          <w:color w:val="34313A"/>
          <w:sz w:val="19"/>
        </w:rPr>
        <w:t>A lead-generation portal that loses visibility once the appointment is booked.</w:t>
      </w:r>
    </w:p>
    <w:p>
      <w:pPr>
        <w:pStyle w:val="ListBullet"/>
        <w:spacing w:after="40" w:line="259" w:lineRule="auto"/>
      </w:pPr>
      <w:r>
        <w:rPr>
          <w:rFonts w:ascii="Liberation Sans" w:hAnsi="Liberation Sans"/>
          <w:color w:val="34313A"/>
          <w:sz w:val="19"/>
        </w:rPr>
        <w:t>A data silo that prevents patients from accessing or controlling their records.</w:t>
      </w:r>
    </w:p>
    <w:p>
      <w:pPr>
        <w:spacing w:before="120" w:after="40"/>
      </w:pPr>
      <w:r>
        <w:rPr>
          <w:rFonts w:ascii="Liberation Sans" w:hAnsi="Liberation Sans"/>
          <w:b/>
          <w:color w:val="812A86"/>
          <w:sz w:val="40"/>
        </w:rPr>
        <w:t>3. Problem Definition &amp; Product Principles</w:t>
      </w:r>
    </w:p>
    <w:tbl>
      <w:tblPr>
        <w:tblStyle w:val="TableGrid"/>
        <w:tblW w:type="auto" w:w="0"/>
        <w:jc w:val="center"/>
        <w:tblLook w:firstColumn="1" w:firstRow="1" w:lastColumn="0" w:lastRow="0" w:noHBand="0" w:noVBand="1" w:val="04A0"/>
      </w:tblPr>
      <w:tblGrid>
        <w:gridCol w:w="5040"/>
        <w:gridCol w:w="5040"/>
      </w:tblGrid>
      <w:tr>
        <w:tc>
          <w:tcPr>
            <w:tcW w:type="dxa" w:w="3888"/>
            <w:shd w:fill="812A86"/>
            <w:tcMar>
              <w:top w:w="90" w:type="dxa"/>
              <w:start w:w="90" w:type="dxa"/>
              <w:bottom w:w="90" w:type="dxa"/>
              <w:end w:w="90" w:type="dxa"/>
            </w:tcMar>
            <w:vAlign w:val="center"/>
          </w:tcPr>
          <w:p>
            <w:pPr>
              <w:jc w:val="center"/>
            </w:pPr>
            <w:r>
              <w:rPr>
                <w:rFonts w:ascii="Liberation Sans" w:hAnsi="Liberation Sans"/>
                <w:b/>
                <w:color w:val="FFFFFF"/>
                <w:sz w:val="17"/>
              </w:rPr>
              <w:t>Current friction</w:t>
            </w:r>
          </w:p>
        </w:tc>
        <w:tc>
          <w:tcPr>
            <w:tcW w:type="dxa" w:w="5472"/>
            <w:shd w:fill="812A86"/>
            <w:tcMar>
              <w:top w:w="90" w:type="dxa"/>
              <w:start w:w="90" w:type="dxa"/>
              <w:bottom w:w="90" w:type="dxa"/>
              <w:end w:w="90" w:type="dxa"/>
            </w:tcMar>
            <w:vAlign w:val="center"/>
          </w:tcPr>
          <w:p>
            <w:pPr>
              <w:jc w:val="center"/>
            </w:pPr>
            <w:r>
              <w:rPr>
                <w:rFonts w:ascii="Liberation Sans" w:hAnsi="Liberation Sans"/>
                <w:b/>
                <w:color w:val="FFFFFF"/>
                <w:sz w:val="17"/>
              </w:rPr>
              <w:t>Platform response</w:t>
            </w:r>
          </w:p>
        </w:tc>
      </w:tr>
      <w:tr>
        <w:tc>
          <w:tcPr>
            <w:tcW w:type="dxa" w:w="3888"/>
            <w:tcMar>
              <w:top w:w="75" w:type="dxa"/>
              <w:start w:w="80" w:type="dxa"/>
              <w:bottom w:w="75" w:type="dxa"/>
              <w:end w:w="80" w:type="dxa"/>
            </w:tcMar>
            <w:vAlign w:val="center"/>
          </w:tcPr>
          <w:p>
            <w:r>
              <w:rPr>
                <w:rFonts w:ascii="Liberation Sans" w:hAnsi="Liberation Sans"/>
                <w:color w:val="34313A"/>
                <w:sz w:val="17"/>
              </w:rPr>
              <w:t>Patients search separately for doctors, medicines, labs and therapy centres.</w:t>
            </w:r>
          </w:p>
        </w:tc>
        <w:tc>
          <w:tcPr>
            <w:tcW w:type="dxa" w:w="5472"/>
            <w:tcMar>
              <w:top w:w="75" w:type="dxa"/>
              <w:start w:w="80" w:type="dxa"/>
              <w:bottom w:w="75" w:type="dxa"/>
              <w:end w:w="80" w:type="dxa"/>
            </w:tcMar>
            <w:vAlign w:val="center"/>
          </w:tcPr>
          <w:p>
            <w:r>
              <w:rPr>
                <w:rFonts w:ascii="Liberation Sans" w:hAnsi="Liberation Sans"/>
                <w:color w:val="34313A"/>
                <w:sz w:val="17"/>
              </w:rPr>
              <w:t>Coordinate services through a single Care Plan.</w:t>
            </w:r>
          </w:p>
        </w:tc>
      </w:tr>
      <w:tr>
        <w:tc>
          <w:tcPr>
            <w:tcW w:type="dxa" w:w="3888"/>
            <w:tcMar>
              <w:top w:w="75" w:type="dxa"/>
              <w:start w:w="80" w:type="dxa"/>
              <w:bottom w:w="75" w:type="dxa"/>
              <w:end w:w="80" w:type="dxa"/>
            </w:tcMar>
            <w:vAlign w:val="center"/>
            <w:shd w:fill="FAF8FB"/>
          </w:tcPr>
          <w:p>
            <w:r>
              <w:rPr>
                <w:rFonts w:ascii="Liberation Sans" w:hAnsi="Liberation Sans"/>
                <w:color w:val="34313A"/>
                <w:sz w:val="17"/>
              </w:rPr>
              <w:t>Records are scattered across paper, WhatsApp and multiple providers.</w:t>
            </w:r>
          </w:p>
        </w:tc>
        <w:tc>
          <w:tcPr>
            <w:tcW w:type="dxa" w:w="5472"/>
            <w:tcMar>
              <w:top w:w="75" w:type="dxa"/>
              <w:start w:w="80" w:type="dxa"/>
              <w:bottom w:w="75" w:type="dxa"/>
              <w:end w:w="80" w:type="dxa"/>
            </w:tcMar>
            <w:vAlign w:val="center"/>
            <w:shd w:fill="FAF8FB"/>
          </w:tcPr>
          <w:p>
            <w:r>
              <w:rPr>
                <w:rFonts w:ascii="Liberation Sans" w:hAnsi="Liberation Sans"/>
                <w:color w:val="34313A"/>
                <w:sz w:val="17"/>
              </w:rPr>
              <w:t>Create a structured longitudinal health timeline with patient-controlled sharing.</w:t>
            </w:r>
          </w:p>
        </w:tc>
      </w:tr>
      <w:tr>
        <w:tc>
          <w:tcPr>
            <w:tcW w:type="dxa" w:w="3888"/>
            <w:tcMar>
              <w:top w:w="75" w:type="dxa"/>
              <w:start w:w="80" w:type="dxa"/>
              <w:bottom w:w="75" w:type="dxa"/>
              <w:end w:w="80" w:type="dxa"/>
            </w:tcMar>
            <w:vAlign w:val="center"/>
          </w:tcPr>
          <w:p>
            <w:r>
              <w:rPr>
                <w:rFonts w:ascii="Liberation Sans" w:hAnsi="Liberation Sans"/>
                <w:color w:val="34313A"/>
                <w:sz w:val="17"/>
              </w:rPr>
              <w:t>Provider credentials and facility quality can be difficult to judge.</w:t>
            </w:r>
          </w:p>
        </w:tc>
        <w:tc>
          <w:tcPr>
            <w:tcW w:type="dxa" w:w="5472"/>
            <w:tcMar>
              <w:top w:w="75" w:type="dxa"/>
              <w:start w:w="80" w:type="dxa"/>
              <w:bottom w:w="75" w:type="dxa"/>
              <w:end w:w="80" w:type="dxa"/>
            </w:tcMar>
            <w:vAlign w:val="center"/>
          </w:tcPr>
          <w:p>
            <w:r>
              <w:rPr>
                <w:rFonts w:ascii="Liberation Sans" w:hAnsi="Liberation Sans"/>
                <w:color w:val="34313A"/>
                <w:sz w:val="17"/>
              </w:rPr>
              <w:t>Build verification and quality workflows into onboarding.</w:t>
            </w:r>
          </w:p>
        </w:tc>
      </w:tr>
      <w:tr>
        <w:tc>
          <w:tcPr>
            <w:tcW w:type="dxa" w:w="3888"/>
            <w:tcMar>
              <w:top w:w="75" w:type="dxa"/>
              <w:start w:w="80" w:type="dxa"/>
              <w:bottom w:w="75" w:type="dxa"/>
              <w:end w:w="80" w:type="dxa"/>
            </w:tcMar>
            <w:vAlign w:val="center"/>
            <w:shd w:fill="FAF8FB"/>
          </w:tcPr>
          <w:p>
            <w:r>
              <w:rPr>
                <w:rFonts w:ascii="Liberation Sans" w:hAnsi="Liberation Sans"/>
                <w:color w:val="34313A"/>
                <w:sz w:val="17"/>
              </w:rPr>
              <w:t>Doctors have limited visibility into whether treatment, tests or therapy sessions were completed.</w:t>
            </w:r>
          </w:p>
        </w:tc>
        <w:tc>
          <w:tcPr>
            <w:tcW w:type="dxa" w:w="5472"/>
            <w:tcMar>
              <w:top w:w="75" w:type="dxa"/>
              <w:start w:w="80" w:type="dxa"/>
              <w:bottom w:w="75" w:type="dxa"/>
              <w:end w:w="80" w:type="dxa"/>
            </w:tcMar>
            <w:vAlign w:val="center"/>
            <w:shd w:fill="FAF8FB"/>
          </w:tcPr>
          <w:p>
            <w:r>
              <w:rPr>
                <w:rFonts w:ascii="Liberation Sans" w:hAnsi="Liberation Sans"/>
                <w:color w:val="34313A"/>
                <w:sz w:val="17"/>
              </w:rPr>
              <w:t>Provide adherence, referral and follow-up status to the treating practitioner.</w:t>
            </w:r>
          </w:p>
        </w:tc>
      </w:tr>
      <w:tr>
        <w:tc>
          <w:tcPr>
            <w:tcW w:type="dxa" w:w="3888"/>
            <w:tcMar>
              <w:top w:w="75" w:type="dxa"/>
              <w:start w:w="80" w:type="dxa"/>
              <w:bottom w:w="75" w:type="dxa"/>
              <w:end w:w="80" w:type="dxa"/>
            </w:tcMar>
            <w:vAlign w:val="center"/>
          </w:tcPr>
          <w:p>
            <w:r>
              <w:rPr>
                <w:rFonts w:ascii="Liberation Sans" w:hAnsi="Liberation Sans"/>
                <w:color w:val="34313A"/>
                <w:sz w:val="17"/>
              </w:rPr>
              <w:t>Patients often drop off between consultation and follow-up.</w:t>
            </w:r>
          </w:p>
        </w:tc>
        <w:tc>
          <w:tcPr>
            <w:tcW w:type="dxa" w:w="5472"/>
            <w:tcMar>
              <w:top w:w="75" w:type="dxa"/>
              <w:start w:w="80" w:type="dxa"/>
              <w:bottom w:w="75" w:type="dxa"/>
              <w:end w:w="80" w:type="dxa"/>
            </w:tcMar>
            <w:vAlign w:val="center"/>
          </w:tcPr>
          <w:p>
            <w:r>
              <w:rPr>
                <w:rFonts w:ascii="Liberation Sans" w:hAnsi="Liberation Sans"/>
                <w:color w:val="34313A"/>
                <w:sz w:val="17"/>
              </w:rPr>
              <w:t>Use reminders, care coordinators and outcome checkpoints.</w:t>
            </w:r>
          </w:p>
        </w:tc>
      </w:tr>
      <w:tr>
        <w:tc>
          <w:tcPr>
            <w:tcW w:type="dxa" w:w="3888"/>
            <w:tcMar>
              <w:top w:w="75" w:type="dxa"/>
              <w:start w:w="80" w:type="dxa"/>
              <w:bottom w:w="75" w:type="dxa"/>
              <w:end w:w="80" w:type="dxa"/>
            </w:tcMar>
            <w:vAlign w:val="center"/>
            <w:shd w:fill="FAF8FB"/>
          </w:tcPr>
          <w:p>
            <w:r>
              <w:rPr>
                <w:rFonts w:ascii="Liberation Sans" w:hAnsi="Liberation Sans"/>
                <w:color w:val="34313A"/>
                <w:sz w:val="17"/>
              </w:rPr>
              <w:t>Independent practitioners lack integrated digital operations.</w:t>
            </w:r>
          </w:p>
        </w:tc>
        <w:tc>
          <w:tcPr>
            <w:tcW w:type="dxa" w:w="5472"/>
            <w:tcMar>
              <w:top w:w="75" w:type="dxa"/>
              <w:start w:w="80" w:type="dxa"/>
              <w:bottom w:w="75" w:type="dxa"/>
              <w:end w:w="80" w:type="dxa"/>
            </w:tcMar>
            <w:vAlign w:val="center"/>
            <w:shd w:fill="FAF8FB"/>
          </w:tcPr>
          <w:p>
            <w:r>
              <w:rPr>
                <w:rFonts w:ascii="Liberation Sans" w:hAnsi="Liberation Sans"/>
                <w:color w:val="34313A"/>
                <w:sz w:val="17"/>
              </w:rPr>
              <w:t>Offer scheduling, records, treatment plans, billing, communication and analytics.</w:t>
            </w:r>
          </w:p>
        </w:tc>
      </w:tr>
    </w:tbl>
    <w:p>
      <w:pPr>
        <w:spacing w:after="20"/>
      </w:pPr>
    </w:p>
    <w:p>
      <w:pPr>
        <w:spacing w:before="160" w:after="80"/>
      </w:pPr>
      <w:r>
        <w:rPr>
          <w:rFonts w:ascii="Liberation Sans" w:hAnsi="Liberation Sans"/>
          <w:b/>
          <w:color w:val="2D94C6"/>
          <w:sz w:val="26"/>
        </w:rPr>
        <w:t>Design principles</w:t>
      </w:r>
    </w:p>
    <w:p>
      <w:pPr>
        <w:pStyle w:val="ListBullet"/>
        <w:spacing w:after="40" w:line="259" w:lineRule="auto"/>
      </w:pPr>
      <w:r>
        <w:rPr>
          <w:rFonts w:ascii="Liberation Sans" w:hAnsi="Liberation Sans"/>
          <w:color w:val="34313A"/>
          <w:sz w:val="19"/>
        </w:rPr>
        <w:t>Clinical authority stays with qualified practitioners.</w:t>
      </w:r>
    </w:p>
    <w:p>
      <w:pPr>
        <w:pStyle w:val="ListBullet"/>
        <w:spacing w:after="40" w:line="259" w:lineRule="auto"/>
      </w:pPr>
      <w:r>
        <w:rPr>
          <w:rFonts w:ascii="Liberation Sans" w:hAnsi="Liberation Sans"/>
          <w:color w:val="34313A"/>
          <w:sz w:val="19"/>
        </w:rPr>
        <w:t>Consent before data sharing; minimum necessary access.</w:t>
      </w:r>
    </w:p>
    <w:p>
      <w:pPr>
        <w:pStyle w:val="ListBullet"/>
        <w:spacing w:after="40" w:line="259" w:lineRule="auto"/>
      </w:pPr>
      <w:r>
        <w:rPr>
          <w:rFonts w:ascii="Liberation Sans" w:hAnsi="Liberation Sans"/>
          <w:color w:val="34313A"/>
          <w:sz w:val="19"/>
        </w:rPr>
        <w:t>Marketplace incentives must not distort clinical decisions.</w:t>
      </w:r>
    </w:p>
    <w:p>
      <w:pPr>
        <w:pStyle w:val="ListBullet"/>
        <w:spacing w:after="40" w:line="259" w:lineRule="auto"/>
      </w:pPr>
      <w:r>
        <w:rPr>
          <w:rFonts w:ascii="Liberation Sans" w:hAnsi="Liberation Sans"/>
          <w:color w:val="34313A"/>
          <w:sz w:val="19"/>
        </w:rPr>
        <w:t>Every important action must be auditable.</w:t>
      </w:r>
    </w:p>
    <w:p>
      <w:pPr>
        <w:pStyle w:val="ListBullet"/>
        <w:spacing w:after="40" w:line="259" w:lineRule="auto"/>
      </w:pPr>
      <w:r>
        <w:rPr>
          <w:rFonts w:ascii="Liberation Sans" w:hAnsi="Liberation Sans"/>
          <w:color w:val="34313A"/>
          <w:sz w:val="19"/>
        </w:rPr>
        <w:t>Make complex Ayurveda terminology understandable without oversimplifying clinical records.</w:t>
      </w:r>
    </w:p>
    <w:p>
      <w:pPr>
        <w:pStyle w:val="ListBullet"/>
        <w:spacing w:after="40" w:line="259" w:lineRule="auto"/>
      </w:pPr>
      <w:r>
        <w:rPr>
          <w:rFonts w:ascii="Liberation Sans" w:hAnsi="Liberation Sans"/>
          <w:color w:val="34313A"/>
          <w:sz w:val="19"/>
        </w:rPr>
        <w:t>Support multilingual patient communication while preserving a canonical structured record.</w:t>
      </w:r>
    </w:p>
    <w:p>
      <w:pPr>
        <w:pStyle w:val="ListBullet"/>
        <w:spacing w:after="40" w:line="259" w:lineRule="auto"/>
      </w:pPr>
      <w:r>
        <w:rPr>
          <w:rFonts w:ascii="Liberation Sans" w:hAnsi="Liberation Sans"/>
          <w:color w:val="34313A"/>
          <w:sz w:val="19"/>
        </w:rPr>
        <w:t>Design for Tier-2 and Tier-3 operations: low bandwidth, WhatsApp/SMS fallback, assisted onboarding and variable partner maturity.</w:t>
      </w:r>
    </w:p>
    <w:p>
      <w:pPr>
        <w:spacing w:before="120" w:after="40"/>
      </w:pPr>
      <w:r>
        <w:rPr>
          <w:rFonts w:ascii="Liberation Sans" w:hAnsi="Liberation Sans"/>
          <w:b/>
          <w:color w:val="812A86"/>
          <w:sz w:val="40"/>
        </w:rPr>
        <w:t>4. Ecosystem &amp; Personas</w:t>
      </w:r>
    </w:p>
    <w:p>
      <w:pPr>
        <w:jc w:val="center"/>
      </w:pPr>
      <w:r>
        <w:drawing>
          <wp:inline xmlns:a="http://schemas.openxmlformats.org/drawingml/2006/main" xmlns:pic="http://schemas.openxmlformats.org/drawingml/2006/picture">
            <wp:extent cx="6217920" cy="3497580"/>
            <wp:docPr id="2" name="Picture 2"/>
            <wp:cNvGraphicFramePr>
              <a:graphicFrameLocks noChangeAspect="1"/>
            </wp:cNvGraphicFramePr>
            <a:graphic>
              <a:graphicData uri="http://schemas.openxmlformats.org/drawingml/2006/picture">
                <pic:pic>
                  <pic:nvPicPr>
                    <pic:cNvPr id="0" name="ecosystem.png"/>
                    <pic:cNvPicPr/>
                  </pic:nvPicPr>
                  <pic:blipFill>
                    <a:blip r:embed="rId11"/>
                    <a:stretch>
                      <a:fillRect/>
                    </a:stretch>
                  </pic:blipFill>
                  <pic:spPr>
                    <a:xfrm>
                      <a:off x="0" y="0"/>
                      <a:ext cx="6217920" cy="3497580"/>
                    </a:xfrm>
                    <a:prstGeom prst="rect"/>
                  </pic:spPr>
                </pic:pic>
              </a:graphicData>
            </a:graphic>
          </wp:inline>
        </w:drawing>
      </w:r>
    </w:p>
    <w:p>
      <w:r>
        <w:br w:type="page"/>
      </w:r>
    </w:p>
    <w:p>
      <w:pPr>
        <w:spacing w:before="160" w:after="80"/>
      </w:pPr>
      <w:r>
        <w:rPr>
          <w:rFonts w:ascii="Liberation Sans" w:hAnsi="Liberation Sans"/>
          <w:b/>
          <w:color w:val="2D94C6"/>
          <w:sz w:val="26"/>
        </w:rPr>
        <w:t>Primary personas</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812A86"/>
            <w:tcMar>
              <w:top w:w="90" w:type="dxa"/>
              <w:start w:w="90" w:type="dxa"/>
              <w:bottom w:w="90" w:type="dxa"/>
              <w:end w:w="90" w:type="dxa"/>
            </w:tcMar>
            <w:vAlign w:val="center"/>
          </w:tcPr>
          <w:p>
            <w:pPr>
              <w:jc w:val="center"/>
            </w:pPr>
            <w:r>
              <w:rPr>
                <w:rFonts w:ascii="Liberation Sans" w:hAnsi="Liberation Sans"/>
                <w:b/>
                <w:color w:val="FFFFFF"/>
                <w:sz w:val="16"/>
              </w:rPr>
              <w:t>Persona</w:t>
            </w:r>
          </w:p>
        </w:tc>
        <w:tc>
          <w:tcPr>
            <w:tcW w:type="dxa" w:w="3672"/>
            <w:shd w:fill="812A86"/>
            <w:tcMar>
              <w:top w:w="90" w:type="dxa"/>
              <w:start w:w="90" w:type="dxa"/>
              <w:bottom w:w="90" w:type="dxa"/>
              <w:end w:w="90" w:type="dxa"/>
            </w:tcMar>
            <w:vAlign w:val="center"/>
          </w:tcPr>
          <w:p>
            <w:pPr>
              <w:jc w:val="center"/>
            </w:pPr>
            <w:r>
              <w:rPr>
                <w:rFonts w:ascii="Liberation Sans" w:hAnsi="Liberation Sans"/>
                <w:b/>
                <w:color w:val="FFFFFF"/>
                <w:sz w:val="16"/>
              </w:rPr>
              <w:t>Primary goals</w:t>
            </w:r>
          </w:p>
        </w:tc>
        <w:tc>
          <w:tcPr>
            <w:tcW w:type="dxa" w:w="3600"/>
            <w:shd w:fill="812A86"/>
            <w:tcMar>
              <w:top w:w="90" w:type="dxa"/>
              <w:start w:w="90" w:type="dxa"/>
              <w:bottom w:w="90" w:type="dxa"/>
              <w:end w:w="90" w:type="dxa"/>
            </w:tcMar>
            <w:vAlign w:val="center"/>
          </w:tcPr>
          <w:p>
            <w:pPr>
              <w:jc w:val="center"/>
            </w:pPr>
            <w:r>
              <w:rPr>
                <w:rFonts w:ascii="Liberation Sans" w:hAnsi="Liberation Sans"/>
                <w:b/>
                <w:color w:val="FFFFFF"/>
                <w:sz w:val="16"/>
              </w:rPr>
              <w:t>Platform value</w:t>
            </w:r>
          </w:p>
        </w:tc>
      </w:tr>
      <w:tr>
        <w:tc>
          <w:tcPr>
            <w:tcW w:type="dxa" w:w="2088"/>
            <w:tcMar>
              <w:top w:w="75" w:type="dxa"/>
              <w:start w:w="80" w:type="dxa"/>
              <w:bottom w:w="75" w:type="dxa"/>
              <w:end w:w="80" w:type="dxa"/>
            </w:tcMar>
            <w:vAlign w:val="center"/>
          </w:tcPr>
          <w:p>
            <w:r>
              <w:rPr>
                <w:rFonts w:ascii="Liberation Sans" w:hAnsi="Liberation Sans"/>
                <w:color w:val="34313A"/>
                <w:sz w:val="16"/>
              </w:rPr>
              <w:t>Patient / family caregiver</w:t>
            </w:r>
          </w:p>
        </w:tc>
        <w:tc>
          <w:tcPr>
            <w:tcW w:type="dxa" w:w="3672"/>
            <w:tcMar>
              <w:top w:w="75" w:type="dxa"/>
              <w:start w:w="80" w:type="dxa"/>
              <w:bottom w:w="75" w:type="dxa"/>
              <w:end w:w="80" w:type="dxa"/>
            </w:tcMar>
            <w:vAlign w:val="center"/>
          </w:tcPr>
          <w:p>
            <w:r>
              <w:rPr>
                <w:rFonts w:ascii="Liberation Sans" w:hAnsi="Liberation Sans"/>
                <w:color w:val="34313A"/>
                <w:sz w:val="16"/>
              </w:rPr>
              <w:t>Find trustworthy care, understand plan, complete treatment, keep records.</w:t>
            </w:r>
          </w:p>
        </w:tc>
        <w:tc>
          <w:tcPr>
            <w:tcW w:type="dxa" w:w="3600"/>
            <w:tcMar>
              <w:top w:w="75" w:type="dxa"/>
              <w:start w:w="80" w:type="dxa"/>
              <w:bottom w:w="75" w:type="dxa"/>
              <w:end w:w="80" w:type="dxa"/>
            </w:tcMar>
            <w:vAlign w:val="center"/>
          </w:tcPr>
          <w:p>
            <w:r>
              <w:rPr>
                <w:rFonts w:ascii="Liberation Sans" w:hAnsi="Liberation Sans"/>
                <w:color w:val="34313A"/>
                <w:sz w:val="16"/>
              </w:rPr>
              <w:t>One coordinated journey and transparent status.</w:t>
            </w:r>
          </w:p>
        </w:tc>
      </w:tr>
      <w:tr>
        <w:tc>
          <w:tcPr>
            <w:tcW w:type="dxa" w:w="2088"/>
            <w:tcMar>
              <w:top w:w="75" w:type="dxa"/>
              <w:start w:w="80" w:type="dxa"/>
              <w:bottom w:w="75" w:type="dxa"/>
              <w:end w:w="80" w:type="dxa"/>
            </w:tcMar>
            <w:vAlign w:val="center"/>
            <w:shd w:fill="FAF8FB"/>
          </w:tcPr>
          <w:p>
            <w:r>
              <w:rPr>
                <w:rFonts w:ascii="Liberation Sans" w:hAnsi="Liberation Sans"/>
                <w:color w:val="34313A"/>
                <w:sz w:val="16"/>
              </w:rPr>
              <w:t>Ayurveda practitioner / Vaidya</w:t>
            </w:r>
          </w:p>
        </w:tc>
        <w:tc>
          <w:tcPr>
            <w:tcW w:type="dxa" w:w="3672"/>
            <w:tcMar>
              <w:top w:w="75" w:type="dxa"/>
              <w:start w:w="80" w:type="dxa"/>
              <w:bottom w:w="75" w:type="dxa"/>
              <w:end w:w="80" w:type="dxa"/>
            </w:tcMar>
            <w:vAlign w:val="center"/>
            <w:shd w:fill="FAF8FB"/>
          </w:tcPr>
          <w:p>
            <w:r>
              <w:rPr>
                <w:rFonts w:ascii="Liberation Sans" w:hAnsi="Liberation Sans"/>
                <w:color w:val="34313A"/>
                <w:sz w:val="16"/>
              </w:rPr>
              <w:t>Consult efficiently, document assessment, prescribe, refer and follow up.</w:t>
            </w:r>
          </w:p>
        </w:tc>
        <w:tc>
          <w:tcPr>
            <w:tcW w:type="dxa" w:w="3600"/>
            <w:tcMar>
              <w:top w:w="75" w:type="dxa"/>
              <w:start w:w="80" w:type="dxa"/>
              <w:bottom w:w="75" w:type="dxa"/>
              <w:end w:w="80" w:type="dxa"/>
            </w:tcMar>
            <w:vAlign w:val="center"/>
            <w:shd w:fill="FAF8FB"/>
          </w:tcPr>
          <w:p>
            <w:r>
              <w:rPr>
                <w:rFonts w:ascii="Liberation Sans" w:hAnsi="Liberation Sans"/>
                <w:color w:val="34313A"/>
                <w:sz w:val="16"/>
              </w:rPr>
              <w:t>Clinical workflow + digital practice operations.</w:t>
            </w:r>
          </w:p>
        </w:tc>
      </w:tr>
      <w:tr>
        <w:tc>
          <w:tcPr>
            <w:tcW w:type="dxa" w:w="2088"/>
            <w:tcMar>
              <w:top w:w="75" w:type="dxa"/>
              <w:start w:w="80" w:type="dxa"/>
              <w:bottom w:w="75" w:type="dxa"/>
              <w:end w:w="80" w:type="dxa"/>
            </w:tcMar>
            <w:vAlign w:val="center"/>
          </w:tcPr>
          <w:p>
            <w:r>
              <w:rPr>
                <w:rFonts w:ascii="Liberation Sans" w:hAnsi="Liberation Sans"/>
                <w:color w:val="34313A"/>
                <w:sz w:val="16"/>
              </w:rPr>
              <w:t>Panchakarma centre manager</w:t>
            </w:r>
          </w:p>
        </w:tc>
        <w:tc>
          <w:tcPr>
            <w:tcW w:type="dxa" w:w="3672"/>
            <w:tcMar>
              <w:top w:w="75" w:type="dxa"/>
              <w:start w:w="80" w:type="dxa"/>
              <w:bottom w:w="75" w:type="dxa"/>
              <w:end w:w="80" w:type="dxa"/>
            </w:tcMar>
            <w:vAlign w:val="center"/>
          </w:tcPr>
          <w:p>
            <w:r>
              <w:rPr>
                <w:rFonts w:ascii="Liberation Sans" w:hAnsi="Liberation Sans"/>
                <w:color w:val="34313A"/>
                <w:sz w:val="16"/>
              </w:rPr>
              <w:t>Receive appropriate referrals, schedule resources, document sessions.</w:t>
            </w:r>
          </w:p>
        </w:tc>
        <w:tc>
          <w:tcPr>
            <w:tcW w:type="dxa" w:w="3600"/>
            <w:tcMar>
              <w:top w:w="75" w:type="dxa"/>
              <w:start w:w="80" w:type="dxa"/>
              <w:bottom w:w="75" w:type="dxa"/>
              <w:end w:w="80" w:type="dxa"/>
            </w:tcMar>
            <w:vAlign w:val="center"/>
          </w:tcPr>
          <w:p>
            <w:r>
              <w:rPr>
                <w:rFonts w:ascii="Liberation Sans" w:hAnsi="Liberation Sans"/>
                <w:color w:val="34313A"/>
                <w:sz w:val="16"/>
              </w:rPr>
              <w:t>Qualified demand + operational workflow.</w:t>
            </w:r>
          </w:p>
        </w:tc>
      </w:tr>
      <w:tr>
        <w:tc>
          <w:tcPr>
            <w:tcW w:type="dxa" w:w="2088"/>
            <w:tcMar>
              <w:top w:w="75" w:type="dxa"/>
              <w:start w:w="80" w:type="dxa"/>
              <w:bottom w:w="75" w:type="dxa"/>
              <w:end w:w="80" w:type="dxa"/>
            </w:tcMar>
            <w:vAlign w:val="center"/>
            <w:shd w:fill="FAF8FB"/>
          </w:tcPr>
          <w:p>
            <w:r>
              <w:rPr>
                <w:rFonts w:ascii="Liberation Sans" w:hAnsi="Liberation Sans"/>
                <w:color w:val="34313A"/>
                <w:sz w:val="16"/>
              </w:rPr>
              <w:t>Diagnostic lab</w:t>
            </w:r>
          </w:p>
        </w:tc>
        <w:tc>
          <w:tcPr>
            <w:tcW w:type="dxa" w:w="3672"/>
            <w:tcMar>
              <w:top w:w="75" w:type="dxa"/>
              <w:start w:w="80" w:type="dxa"/>
              <w:bottom w:w="75" w:type="dxa"/>
              <w:end w:w="80" w:type="dxa"/>
            </w:tcMar>
            <w:vAlign w:val="center"/>
            <w:shd w:fill="FAF8FB"/>
          </w:tcPr>
          <w:p>
            <w:r>
              <w:rPr>
                <w:rFonts w:ascii="Liberation Sans" w:hAnsi="Liberation Sans"/>
                <w:color w:val="34313A"/>
                <w:sz w:val="16"/>
              </w:rPr>
              <w:t>Receive orders, manage collections and deliver results.</w:t>
            </w:r>
          </w:p>
        </w:tc>
        <w:tc>
          <w:tcPr>
            <w:tcW w:type="dxa" w:w="3600"/>
            <w:tcMar>
              <w:top w:w="75" w:type="dxa"/>
              <w:start w:w="80" w:type="dxa"/>
              <w:bottom w:w="75" w:type="dxa"/>
              <w:end w:w="80" w:type="dxa"/>
            </w:tcMar>
            <w:vAlign w:val="center"/>
            <w:shd w:fill="FAF8FB"/>
          </w:tcPr>
          <w:p>
            <w:r>
              <w:rPr>
                <w:rFonts w:ascii="Liberation Sans" w:hAnsi="Liberation Sans"/>
                <w:color w:val="34313A"/>
                <w:sz w:val="16"/>
              </w:rPr>
              <w:t>Integrated referrals and report delivery.</w:t>
            </w:r>
          </w:p>
        </w:tc>
      </w:tr>
      <w:tr>
        <w:tc>
          <w:tcPr>
            <w:tcW w:type="dxa" w:w="2088"/>
            <w:tcMar>
              <w:top w:w="75" w:type="dxa"/>
              <w:start w:w="80" w:type="dxa"/>
              <w:bottom w:w="75" w:type="dxa"/>
              <w:end w:w="80" w:type="dxa"/>
            </w:tcMar>
            <w:vAlign w:val="center"/>
          </w:tcPr>
          <w:p>
            <w:r>
              <w:rPr>
                <w:rFonts w:ascii="Liberation Sans" w:hAnsi="Liberation Sans"/>
                <w:color w:val="34313A"/>
                <w:sz w:val="16"/>
              </w:rPr>
              <w:t>Pharmacy / fulfilment partner</w:t>
            </w:r>
          </w:p>
        </w:tc>
        <w:tc>
          <w:tcPr>
            <w:tcW w:type="dxa" w:w="3672"/>
            <w:tcMar>
              <w:top w:w="75" w:type="dxa"/>
              <w:start w:w="80" w:type="dxa"/>
              <w:bottom w:w="75" w:type="dxa"/>
              <w:end w:w="80" w:type="dxa"/>
            </w:tcMar>
            <w:vAlign w:val="center"/>
          </w:tcPr>
          <w:p>
            <w:r>
              <w:rPr>
                <w:rFonts w:ascii="Liberation Sans" w:hAnsi="Liberation Sans"/>
                <w:color w:val="34313A"/>
                <w:sz w:val="16"/>
              </w:rPr>
              <w:t>Receive valid orders, manage stock, invoice and deliver.</w:t>
            </w:r>
          </w:p>
        </w:tc>
        <w:tc>
          <w:tcPr>
            <w:tcW w:type="dxa" w:w="3600"/>
            <w:tcMar>
              <w:top w:w="75" w:type="dxa"/>
              <w:start w:w="80" w:type="dxa"/>
              <w:bottom w:w="75" w:type="dxa"/>
              <w:end w:w="80" w:type="dxa"/>
            </w:tcMar>
            <w:vAlign w:val="center"/>
          </w:tcPr>
          <w:p>
            <w:r>
              <w:rPr>
                <w:rFonts w:ascii="Liberation Sans" w:hAnsi="Liberation Sans"/>
                <w:color w:val="34313A"/>
                <w:sz w:val="16"/>
              </w:rPr>
              <w:t>Demand and digital order integration.</w:t>
            </w:r>
          </w:p>
        </w:tc>
      </w:tr>
      <w:tr>
        <w:tc>
          <w:tcPr>
            <w:tcW w:type="dxa" w:w="2088"/>
            <w:tcMar>
              <w:top w:w="75" w:type="dxa"/>
              <w:start w:w="80" w:type="dxa"/>
              <w:bottom w:w="75" w:type="dxa"/>
              <w:end w:w="80" w:type="dxa"/>
            </w:tcMar>
            <w:vAlign w:val="center"/>
            <w:shd w:fill="FAF8FB"/>
          </w:tcPr>
          <w:p>
            <w:r>
              <w:rPr>
                <w:rFonts w:ascii="Liberation Sans" w:hAnsi="Liberation Sans"/>
                <w:color w:val="34313A"/>
                <w:sz w:val="16"/>
              </w:rPr>
              <w:t>Care coordinator</w:t>
            </w:r>
          </w:p>
        </w:tc>
        <w:tc>
          <w:tcPr>
            <w:tcW w:type="dxa" w:w="3672"/>
            <w:tcMar>
              <w:top w:w="75" w:type="dxa"/>
              <w:start w:w="80" w:type="dxa"/>
              <w:bottom w:w="75" w:type="dxa"/>
              <w:end w:w="80" w:type="dxa"/>
            </w:tcMar>
            <w:vAlign w:val="center"/>
            <w:shd w:fill="FAF8FB"/>
          </w:tcPr>
          <w:p>
            <w:r>
              <w:rPr>
                <w:rFonts w:ascii="Liberation Sans" w:hAnsi="Liberation Sans"/>
                <w:color w:val="34313A"/>
                <w:sz w:val="16"/>
              </w:rPr>
              <w:t>Help patients complete the plan and resolve exceptions.</w:t>
            </w:r>
          </w:p>
        </w:tc>
        <w:tc>
          <w:tcPr>
            <w:tcW w:type="dxa" w:w="3600"/>
            <w:tcMar>
              <w:top w:w="75" w:type="dxa"/>
              <w:start w:w="80" w:type="dxa"/>
              <w:bottom w:w="75" w:type="dxa"/>
              <w:end w:w="80" w:type="dxa"/>
            </w:tcMar>
            <w:vAlign w:val="center"/>
            <w:shd w:fill="FAF8FB"/>
          </w:tcPr>
          <w:p>
            <w:r>
              <w:rPr>
                <w:rFonts w:ascii="Liberation Sans" w:hAnsi="Liberation Sans"/>
                <w:color w:val="34313A"/>
                <w:sz w:val="16"/>
              </w:rPr>
              <w:t>Unified patient timeline and work queue.</w:t>
            </w:r>
          </w:p>
        </w:tc>
      </w:tr>
      <w:tr>
        <w:tc>
          <w:tcPr>
            <w:tcW w:type="dxa" w:w="2088"/>
            <w:tcMar>
              <w:top w:w="75" w:type="dxa"/>
              <w:start w:w="80" w:type="dxa"/>
              <w:bottom w:w="75" w:type="dxa"/>
              <w:end w:w="80" w:type="dxa"/>
            </w:tcMar>
            <w:vAlign w:val="center"/>
          </w:tcPr>
          <w:p>
            <w:r>
              <w:rPr>
                <w:rFonts w:ascii="Liberation Sans" w:hAnsi="Liberation Sans"/>
                <w:color w:val="34313A"/>
                <w:sz w:val="16"/>
              </w:rPr>
              <w:t>Platform admin / quality team</w:t>
            </w:r>
          </w:p>
        </w:tc>
        <w:tc>
          <w:tcPr>
            <w:tcW w:type="dxa" w:w="3672"/>
            <w:tcMar>
              <w:top w:w="75" w:type="dxa"/>
              <w:start w:w="80" w:type="dxa"/>
              <w:bottom w:w="75" w:type="dxa"/>
              <w:end w:w="80" w:type="dxa"/>
            </w:tcMar>
            <w:vAlign w:val="center"/>
          </w:tcPr>
          <w:p>
            <w:r>
              <w:rPr>
                <w:rFonts w:ascii="Liberation Sans" w:hAnsi="Liberation Sans"/>
                <w:color w:val="34313A"/>
                <w:sz w:val="16"/>
              </w:rPr>
              <w:t>Verify partners, manage catalogues, disputes, SLAs and settlements.</w:t>
            </w:r>
          </w:p>
        </w:tc>
        <w:tc>
          <w:tcPr>
            <w:tcW w:type="dxa" w:w="3600"/>
            <w:tcMar>
              <w:top w:w="75" w:type="dxa"/>
              <w:start w:w="80" w:type="dxa"/>
              <w:bottom w:w="75" w:type="dxa"/>
              <w:end w:w="80" w:type="dxa"/>
            </w:tcMar>
            <w:vAlign w:val="center"/>
          </w:tcPr>
          <w:p>
            <w:r>
              <w:rPr>
                <w:rFonts w:ascii="Liberation Sans" w:hAnsi="Liberation Sans"/>
                <w:color w:val="34313A"/>
                <w:sz w:val="16"/>
              </w:rPr>
              <w:t>Central governance and analytics.</w:t>
            </w:r>
          </w:p>
        </w:tc>
      </w:tr>
    </w:tbl>
    <w:p>
      <w:pPr>
        <w:spacing w:after="20"/>
      </w:pPr>
    </w:p>
    <w:p>
      <w:r>
        <w:br w:type="page"/>
      </w:r>
    </w:p>
    <w:p>
      <w:pPr>
        <w:spacing w:before="120" w:after="40"/>
      </w:pPr>
      <w:r>
        <w:rPr>
          <w:rFonts w:ascii="Liberation Sans" w:hAnsi="Liberation Sans"/>
          <w:b/>
          <w:color w:val="812A86"/>
          <w:sz w:val="40"/>
        </w:rPr>
        <w:t>5. Patient Journey</w:t>
      </w:r>
    </w:p>
    <w:p>
      <w:pPr>
        <w:spacing w:after="100" w:before="0" w:line="269" w:lineRule="auto"/>
      </w:pPr>
      <w:r>
        <w:rPr>
          <w:rFonts w:ascii="Liberation Sans" w:hAnsi="Liberation Sans"/>
          <w:b w:val="0"/>
          <w:color w:val="34313A"/>
          <w:sz w:val="20"/>
        </w:rPr>
        <w:t>The patient journey should feel like a guided care programme rather than a set of disconnected transactions.</w:t>
      </w:r>
    </w:p>
    <w:p>
      <w:pPr>
        <w:jc w:val="center"/>
      </w:pPr>
      <w:r>
        <w:drawing>
          <wp:inline xmlns:a="http://schemas.openxmlformats.org/drawingml/2006/main" xmlns:pic="http://schemas.openxmlformats.org/drawingml/2006/picture">
            <wp:extent cx="6217920" cy="2487168"/>
            <wp:docPr id="3" name="Picture 3"/>
            <wp:cNvGraphicFramePr>
              <a:graphicFrameLocks noChangeAspect="1"/>
            </wp:cNvGraphicFramePr>
            <a:graphic>
              <a:graphicData uri="http://schemas.openxmlformats.org/drawingml/2006/picture">
                <pic:pic>
                  <pic:nvPicPr>
                    <pic:cNvPr id="0" name="patient.png"/>
                    <pic:cNvPicPr/>
                  </pic:nvPicPr>
                  <pic:blipFill>
                    <a:blip r:embed="rId12"/>
                    <a:stretch>
                      <a:fillRect/>
                    </a:stretch>
                  </pic:blipFill>
                  <pic:spPr>
                    <a:xfrm>
                      <a:off x="0" y="0"/>
                      <a:ext cx="6217920" cy="2487168"/>
                    </a:xfrm>
                    <a:prstGeom prst="rect"/>
                  </pic:spPr>
                </pic:pic>
              </a:graphicData>
            </a:graphic>
          </wp:inline>
        </w:drawing>
      </w:r>
    </w:p>
    <w:p>
      <w:pPr>
        <w:pStyle w:val="ListBullet"/>
        <w:spacing w:after="40" w:line="259" w:lineRule="auto"/>
      </w:pPr>
      <w:r>
        <w:rPr>
          <w:rFonts w:ascii="Liberation Sans" w:hAnsi="Liberation Sans"/>
          <w:color w:val="34313A"/>
          <w:sz w:val="19"/>
        </w:rPr>
        <w:t>Entry points: symptom/health-goal search, doctor profile, referral link, clinic QR, campaign, partner referral or repeat visit.</w:t>
      </w:r>
    </w:p>
    <w:p>
      <w:pPr>
        <w:pStyle w:val="ListBullet"/>
        <w:spacing w:after="40" w:line="259" w:lineRule="auto"/>
      </w:pPr>
      <w:r>
        <w:rPr>
          <w:rFonts w:ascii="Liberation Sans" w:hAnsi="Liberation Sans"/>
          <w:color w:val="34313A"/>
          <w:sz w:val="19"/>
        </w:rPr>
        <w:t>Registration: mobile OTP, consent notices, optional ABHA linking when implemented, language preference and family profiles.</w:t>
      </w:r>
    </w:p>
    <w:p>
      <w:pPr>
        <w:pStyle w:val="ListBullet"/>
        <w:spacing w:after="40" w:line="259" w:lineRule="auto"/>
      </w:pPr>
      <w:r>
        <w:rPr>
          <w:rFonts w:ascii="Liberation Sans" w:hAnsi="Liberation Sans"/>
          <w:color w:val="34313A"/>
          <w:sz w:val="19"/>
        </w:rPr>
        <w:t>Health profile: concerns, history, current medicines, allergies, reports and goals; emergency/red-flag messaging must route users to appropriate care rather than delay urgent treatment.</w:t>
      </w:r>
    </w:p>
    <w:p>
      <w:pPr>
        <w:pStyle w:val="ListBullet"/>
        <w:spacing w:after="40" w:line="259" w:lineRule="auto"/>
      </w:pPr>
      <w:r>
        <w:rPr>
          <w:rFonts w:ascii="Liberation Sans" w:hAnsi="Liberation Sans"/>
          <w:color w:val="34313A"/>
          <w:sz w:val="19"/>
        </w:rPr>
        <w:t>Discovery: filter practitioners by language, consultation mode, location, experience, areas of practice and verified credentials.</w:t>
      </w:r>
    </w:p>
    <w:p>
      <w:pPr>
        <w:pStyle w:val="ListBullet"/>
        <w:spacing w:after="40" w:line="259" w:lineRule="auto"/>
      </w:pPr>
      <w:r>
        <w:rPr>
          <w:rFonts w:ascii="Liberation Sans" w:hAnsi="Liberation Sans"/>
          <w:color w:val="34313A"/>
          <w:sz w:val="19"/>
        </w:rPr>
        <w:t>Consultation: appointment, payment, pre-consultation questionnaire, document upload, video/clinic visit and structured summary.</w:t>
      </w:r>
    </w:p>
    <w:p>
      <w:pPr>
        <w:pStyle w:val="ListBullet"/>
        <w:spacing w:after="40" w:line="259" w:lineRule="auto"/>
      </w:pPr>
      <w:r>
        <w:rPr>
          <w:rFonts w:ascii="Liberation Sans" w:hAnsi="Liberation Sans"/>
          <w:color w:val="34313A"/>
          <w:sz w:val="19"/>
        </w:rPr>
        <w:t>Care Plan: practitioner-owned plan containing medicines, investigations, diet/lifestyle instructions, therapies, follow-up dates and patient tasks.</w:t>
      </w:r>
    </w:p>
    <w:p>
      <w:pPr>
        <w:pStyle w:val="ListBullet"/>
        <w:spacing w:after="40" w:line="259" w:lineRule="auto"/>
      </w:pPr>
      <w:r>
        <w:rPr>
          <w:rFonts w:ascii="Liberation Sans" w:hAnsi="Liberation Sans"/>
          <w:color w:val="34313A"/>
          <w:sz w:val="19"/>
        </w:rPr>
        <w:t>Fulfilment: patient chooses eligible partner for medicine/test/therapy, sees price and availability, and tracks fulfilment.</w:t>
      </w:r>
    </w:p>
    <w:p>
      <w:pPr>
        <w:pStyle w:val="ListBullet"/>
        <w:spacing w:after="40" w:line="259" w:lineRule="auto"/>
      </w:pPr>
      <w:r>
        <w:rPr>
          <w:rFonts w:ascii="Liberation Sans" w:hAnsi="Liberation Sans"/>
          <w:color w:val="34313A"/>
          <w:sz w:val="19"/>
        </w:rPr>
        <w:t>Follow-up: reminders, progress questions, outcome measures, adverse-event escalation and next consultation.</w:t>
      </w:r>
    </w:p>
    <w:p>
      <w:pPr>
        <w:pStyle w:val="ListBullet"/>
        <w:spacing w:after="40" w:line="259" w:lineRule="auto"/>
      </w:pPr>
      <w:r>
        <w:rPr>
          <w:rFonts w:ascii="Liberation Sans" w:hAnsi="Liberation Sans"/>
          <w:color w:val="34313A"/>
          <w:sz w:val="19"/>
        </w:rPr>
        <w:t>Retention: family records, recurring plans, refill reminders and continuity across cities/providers subject to consent.</w:t>
      </w:r>
    </w:p>
    <w:p>
      <w:r>
        <w:br w:type="page"/>
      </w:r>
    </w:p>
    <w:p>
      <w:pPr>
        <w:spacing w:before="120" w:after="40"/>
      </w:pPr>
      <w:r>
        <w:rPr>
          <w:rFonts w:ascii="Liberation Sans" w:hAnsi="Liberation Sans"/>
          <w:b/>
          <w:color w:val="812A86"/>
          <w:sz w:val="40"/>
        </w:rPr>
        <w:t>6. Doctor / Vaidya Journey</w:t>
      </w:r>
    </w:p>
    <w:p>
      <w:pPr>
        <w:spacing w:after="100" w:before="0" w:line="269" w:lineRule="auto"/>
      </w:pPr>
      <w:r>
        <w:rPr>
          <w:rFonts w:ascii="Liberation Sans" w:hAnsi="Liberation Sans"/>
          <w:b w:val="0"/>
          <w:color w:val="34313A"/>
          <w:sz w:val="20"/>
        </w:rPr>
        <w:t>The practitioner experience is the platform’s clinical backbone and should work for both marketplace doctors and independent clinics.</w:t>
      </w:r>
    </w:p>
    <w:p>
      <w:pPr>
        <w:jc w:val="center"/>
      </w:pPr>
      <w:r>
        <w:drawing>
          <wp:inline xmlns:a="http://schemas.openxmlformats.org/drawingml/2006/main" xmlns:pic="http://schemas.openxmlformats.org/drawingml/2006/picture">
            <wp:extent cx="6217920" cy="2487168"/>
            <wp:docPr id="4" name="Picture 4"/>
            <wp:cNvGraphicFramePr>
              <a:graphicFrameLocks noChangeAspect="1"/>
            </wp:cNvGraphicFramePr>
            <a:graphic>
              <a:graphicData uri="http://schemas.openxmlformats.org/drawingml/2006/picture">
                <pic:pic>
                  <pic:nvPicPr>
                    <pic:cNvPr id="0" name="doctor.png"/>
                    <pic:cNvPicPr/>
                  </pic:nvPicPr>
                  <pic:blipFill>
                    <a:blip r:embed="rId13"/>
                    <a:stretch>
                      <a:fillRect/>
                    </a:stretch>
                  </pic:blipFill>
                  <pic:spPr>
                    <a:xfrm>
                      <a:off x="0" y="0"/>
                      <a:ext cx="6217920" cy="2487168"/>
                    </a:xfrm>
                    <a:prstGeom prst="rect"/>
                  </pic:spPr>
                </pic:pic>
              </a:graphicData>
            </a:graphic>
          </wp:inline>
        </w:drawing>
      </w:r>
    </w:p>
    <w:p>
      <w:pPr>
        <w:pStyle w:val="ListBullet"/>
        <w:spacing w:after="40" w:line="259" w:lineRule="auto"/>
      </w:pPr>
      <w:r>
        <w:rPr>
          <w:rFonts w:ascii="Liberation Sans" w:hAnsi="Liberation Sans"/>
          <w:color w:val="34313A"/>
          <w:sz w:val="19"/>
        </w:rPr>
        <w:t>Credential onboarding: identity, qualification, registration details, state/national register validation where applicable, bank and tax details, practice locations and specialties/areas of practice.</w:t>
      </w:r>
    </w:p>
    <w:p>
      <w:pPr>
        <w:pStyle w:val="ListBullet"/>
        <w:spacing w:after="40" w:line="259" w:lineRule="auto"/>
      </w:pPr>
      <w:r>
        <w:rPr>
          <w:rFonts w:ascii="Liberation Sans" w:hAnsi="Liberation Sans"/>
          <w:color w:val="34313A"/>
          <w:sz w:val="19"/>
        </w:rPr>
        <w:t>Availability: configure online/clinic slots, buffers, consultation duration, leave and emergency closures.</w:t>
      </w:r>
    </w:p>
    <w:p>
      <w:pPr>
        <w:pStyle w:val="ListBullet"/>
        <w:spacing w:after="40" w:line="259" w:lineRule="auto"/>
      </w:pPr>
      <w:r>
        <w:rPr>
          <w:rFonts w:ascii="Liberation Sans" w:hAnsi="Liberation Sans"/>
          <w:color w:val="34313A"/>
          <w:sz w:val="19"/>
        </w:rPr>
        <w:t>Patient review: history, uploaded records, previous care plans, adherence and prior partner activity visible only when authorised.</w:t>
      </w:r>
    </w:p>
    <w:p>
      <w:pPr>
        <w:pStyle w:val="ListBullet"/>
        <w:spacing w:after="40" w:line="259" w:lineRule="auto"/>
      </w:pPr>
      <w:r>
        <w:rPr>
          <w:rFonts w:ascii="Liberation Sans" w:hAnsi="Liberation Sans"/>
          <w:color w:val="34313A"/>
          <w:sz w:val="19"/>
        </w:rPr>
        <w:t>Clinical encounter: history, findings, Ayurveda-specific assessment fields, relevant conventional history and report review.</w:t>
      </w:r>
    </w:p>
    <w:p>
      <w:pPr>
        <w:pStyle w:val="ListBullet"/>
        <w:spacing w:after="40" w:line="259" w:lineRule="auto"/>
      </w:pPr>
      <w:r>
        <w:rPr>
          <w:rFonts w:ascii="Liberation Sans" w:hAnsi="Liberation Sans"/>
          <w:color w:val="34313A"/>
          <w:sz w:val="19"/>
        </w:rPr>
        <w:t>Decision support: templates and safety reminders may assist documentation but must not replace clinical judgement.</w:t>
      </w:r>
    </w:p>
    <w:p>
      <w:pPr>
        <w:pStyle w:val="ListBullet"/>
        <w:spacing w:after="40" w:line="259" w:lineRule="auto"/>
      </w:pPr>
      <w:r>
        <w:rPr>
          <w:rFonts w:ascii="Liberation Sans" w:hAnsi="Liberation Sans"/>
          <w:color w:val="34313A"/>
          <w:sz w:val="19"/>
        </w:rPr>
        <w:t>Care Plan authoring: medicines, dose/instructions, diagnostic orders, therapy referrals, diet/lifestyle advice, duration and follow-up.</w:t>
      </w:r>
    </w:p>
    <w:p>
      <w:pPr>
        <w:pStyle w:val="ListBullet"/>
        <w:spacing w:after="40" w:line="259" w:lineRule="auto"/>
      </w:pPr>
      <w:r>
        <w:rPr>
          <w:rFonts w:ascii="Liberation Sans" w:hAnsi="Liberation Sans"/>
          <w:color w:val="34313A"/>
          <w:sz w:val="19"/>
        </w:rPr>
        <w:t>Referral: select eligible lab/pharmacy/centre without hidden commercial prioritisation.</w:t>
      </w:r>
    </w:p>
    <w:p>
      <w:pPr>
        <w:pStyle w:val="ListBullet"/>
        <w:spacing w:after="40" w:line="259" w:lineRule="auto"/>
      </w:pPr>
      <w:r>
        <w:rPr>
          <w:rFonts w:ascii="Liberation Sans" w:hAnsi="Liberation Sans"/>
          <w:color w:val="34313A"/>
          <w:sz w:val="19"/>
        </w:rPr>
        <w:t>Monitoring: see whether tests, medicine delivery and therapy sessions were completed, then review outcomes at follow-up.</w:t>
      </w:r>
    </w:p>
    <w:p>
      <w:pPr>
        <w:pStyle w:val="ListBullet"/>
        <w:spacing w:after="40" w:line="259" w:lineRule="auto"/>
      </w:pPr>
      <w:r>
        <w:rPr>
          <w:rFonts w:ascii="Liberation Sans" w:hAnsi="Liberation Sans"/>
          <w:color w:val="34313A"/>
          <w:sz w:val="19"/>
        </w:rPr>
        <w:t>Practice operations: appointments, invoices, communications, team roles, analytics and patient recall.</w:t>
      </w:r>
    </w:p>
    <w:p>
      <w:r>
        <w:br w:type="page"/>
      </w:r>
    </w:p>
    <w:p>
      <w:pPr>
        <w:spacing w:before="120" w:after="40"/>
      </w:pPr>
      <w:r>
        <w:rPr>
          <w:rFonts w:ascii="Liberation Sans" w:hAnsi="Liberation Sans"/>
          <w:b/>
          <w:color w:val="812A86"/>
          <w:sz w:val="40"/>
        </w:rPr>
        <w:t>7. Panchakarma Centre Journey</w:t>
      </w:r>
    </w:p>
    <w:p>
      <w:pPr>
        <w:spacing w:after="100" w:before="0" w:line="269" w:lineRule="auto"/>
      </w:pPr>
      <w:r>
        <w:rPr>
          <w:rFonts w:ascii="Liberation Sans" w:hAnsi="Liberation Sans"/>
          <w:b w:val="0"/>
          <w:color w:val="34313A"/>
          <w:sz w:val="20"/>
        </w:rPr>
        <w:t>Panchakarma is treated as a supervised clinical service with referral, facility capability and session documentation.</w:t>
      </w:r>
    </w:p>
    <w:p>
      <w:pPr>
        <w:jc w:val="center"/>
      </w:pPr>
      <w:r>
        <w:drawing>
          <wp:inline xmlns:a="http://schemas.openxmlformats.org/drawingml/2006/main" xmlns:pic="http://schemas.openxmlformats.org/drawingml/2006/picture">
            <wp:extent cx="6217920" cy="2487168"/>
            <wp:docPr id="5" name="Picture 5"/>
            <wp:cNvGraphicFramePr>
              <a:graphicFrameLocks noChangeAspect="1"/>
            </wp:cNvGraphicFramePr>
            <a:graphic>
              <a:graphicData uri="http://schemas.openxmlformats.org/drawingml/2006/picture">
                <pic:pic>
                  <pic:nvPicPr>
                    <pic:cNvPr id="0" name="center.png"/>
                    <pic:cNvPicPr/>
                  </pic:nvPicPr>
                  <pic:blipFill>
                    <a:blip r:embed="rId14"/>
                    <a:stretch>
                      <a:fillRect/>
                    </a:stretch>
                  </pic:blipFill>
                  <pic:spPr>
                    <a:xfrm>
                      <a:off x="0" y="0"/>
                      <a:ext cx="6217920" cy="2487168"/>
                    </a:xfrm>
                    <a:prstGeom prst="rect"/>
                  </pic:spPr>
                </pic:pic>
              </a:graphicData>
            </a:graphic>
          </wp:inline>
        </w:drawing>
      </w:r>
    </w:p>
    <w:p>
      <w:pPr>
        <w:pStyle w:val="ListBullet"/>
        <w:spacing w:after="40" w:line="259" w:lineRule="auto"/>
      </w:pPr>
      <w:r>
        <w:rPr>
          <w:rFonts w:ascii="Liberation Sans" w:hAnsi="Liberation Sans"/>
          <w:color w:val="34313A"/>
          <w:sz w:val="19"/>
        </w:rPr>
        <w:t>Facility onboarding: ownership, location, clinical supervision, practitioners/therapists, available procedures, rooms, equipment, hygiene processes and required licences/registrations.</w:t>
      </w:r>
    </w:p>
    <w:p>
      <w:pPr>
        <w:pStyle w:val="ListBullet"/>
        <w:spacing w:after="40" w:line="259" w:lineRule="auto"/>
      </w:pPr>
      <w:r>
        <w:rPr>
          <w:rFonts w:ascii="Liberation Sans" w:hAnsi="Liberation Sans"/>
          <w:color w:val="34313A"/>
          <w:sz w:val="19"/>
        </w:rPr>
        <w:t>Service catalogue: therapy type, duration, prerequisites, contraindication prompts, price, capacity and required supervision.</w:t>
      </w:r>
    </w:p>
    <w:p>
      <w:pPr>
        <w:pStyle w:val="ListBullet"/>
        <w:spacing w:after="40" w:line="259" w:lineRule="auto"/>
      </w:pPr>
      <w:r>
        <w:rPr>
          <w:rFonts w:ascii="Liberation Sans" w:hAnsi="Liberation Sans"/>
          <w:color w:val="34313A"/>
          <w:sz w:val="19"/>
        </w:rPr>
        <w:t>Referral receipt: centre receives only the information necessary to fulfil the practitioner’s referral and patient consent.</w:t>
      </w:r>
    </w:p>
    <w:p>
      <w:pPr>
        <w:pStyle w:val="ListBullet"/>
        <w:spacing w:after="40" w:line="259" w:lineRule="auto"/>
      </w:pPr>
      <w:r>
        <w:rPr>
          <w:rFonts w:ascii="Liberation Sans" w:hAnsi="Liberation Sans"/>
          <w:color w:val="34313A"/>
          <w:sz w:val="19"/>
        </w:rPr>
        <w:t>Pre-session check: confirm patient, referral, preparation instructions and any practitioner-defined restrictions.</w:t>
      </w:r>
    </w:p>
    <w:p>
      <w:pPr>
        <w:pStyle w:val="ListBullet"/>
        <w:spacing w:after="40" w:line="259" w:lineRule="auto"/>
      </w:pPr>
      <w:r>
        <w:rPr>
          <w:rFonts w:ascii="Liberation Sans" w:hAnsi="Liberation Sans"/>
          <w:color w:val="34313A"/>
          <w:sz w:val="19"/>
        </w:rPr>
        <w:t>Session execution: attendance, start/end, therapist, procedure notes, observations and exceptions.</w:t>
      </w:r>
    </w:p>
    <w:p>
      <w:pPr>
        <w:pStyle w:val="ListBullet"/>
        <w:spacing w:after="40" w:line="259" w:lineRule="auto"/>
      </w:pPr>
      <w:r>
        <w:rPr>
          <w:rFonts w:ascii="Liberation Sans" w:hAnsi="Liberation Sans"/>
          <w:color w:val="34313A"/>
          <w:sz w:val="19"/>
        </w:rPr>
        <w:t>Escalation: defined process when patient condition requires practitioner review or urgent medical attention.</w:t>
      </w:r>
    </w:p>
    <w:p>
      <w:pPr>
        <w:pStyle w:val="ListBullet"/>
        <w:spacing w:after="40" w:line="259" w:lineRule="auto"/>
      </w:pPr>
      <w:r>
        <w:rPr>
          <w:rFonts w:ascii="Liberation Sans" w:hAnsi="Liberation Sans"/>
          <w:color w:val="34313A"/>
          <w:sz w:val="19"/>
        </w:rPr>
        <w:t>Completion: update referring practitioner and patient timeline; issue invoice and next-session guidance.</w:t>
      </w:r>
    </w:p>
    <w:p>
      <w:pPr>
        <w:pStyle w:val="ListBullet"/>
        <w:spacing w:after="40" w:line="259" w:lineRule="auto"/>
      </w:pPr>
      <w:r>
        <w:rPr>
          <w:rFonts w:ascii="Liberation Sans" w:hAnsi="Liberation Sans"/>
          <w:color w:val="34313A"/>
          <w:sz w:val="19"/>
        </w:rPr>
        <w:t>Quality: cancellations, complaints, safety events, facility audits and satisfaction metrics feed partner governance.</w:t>
      </w:r>
    </w:p>
    <w:p>
      <w:r>
        <w:br w:type="page"/>
      </w:r>
    </w:p>
    <w:p>
      <w:pPr>
        <w:spacing w:before="120" w:after="40"/>
      </w:pPr>
      <w:r>
        <w:rPr>
          <w:rFonts w:ascii="Liberation Sans" w:hAnsi="Liberation Sans"/>
          <w:b/>
          <w:color w:val="812A86"/>
          <w:sz w:val="40"/>
        </w:rPr>
        <w:t>8. Diagnostic Lab Journey</w:t>
      </w:r>
    </w:p>
    <w:p>
      <w:pPr>
        <w:spacing w:after="100" w:before="0" w:line="269" w:lineRule="auto"/>
      </w:pPr>
      <w:r>
        <w:rPr>
          <w:rFonts w:ascii="Liberation Sans" w:hAnsi="Liberation Sans"/>
          <w:b w:val="0"/>
          <w:color w:val="34313A"/>
          <w:sz w:val="20"/>
        </w:rPr>
        <w:t>Diagnostics are integrated as practitioner-ordered services, not as indiscriminate test-selling.</w:t>
      </w:r>
    </w:p>
    <w:p>
      <w:pPr>
        <w:jc w:val="center"/>
      </w:pPr>
      <w:r>
        <w:drawing>
          <wp:inline xmlns:a="http://schemas.openxmlformats.org/drawingml/2006/main" xmlns:pic="http://schemas.openxmlformats.org/drawingml/2006/picture">
            <wp:extent cx="6217920" cy="2487168"/>
            <wp:docPr id="6" name="Picture 6"/>
            <wp:cNvGraphicFramePr>
              <a:graphicFrameLocks noChangeAspect="1"/>
            </wp:cNvGraphicFramePr>
            <a:graphic>
              <a:graphicData uri="http://schemas.openxmlformats.org/drawingml/2006/picture">
                <pic:pic>
                  <pic:nvPicPr>
                    <pic:cNvPr id="0" name="lab.png"/>
                    <pic:cNvPicPr/>
                  </pic:nvPicPr>
                  <pic:blipFill>
                    <a:blip r:embed="rId15"/>
                    <a:stretch>
                      <a:fillRect/>
                    </a:stretch>
                  </pic:blipFill>
                  <pic:spPr>
                    <a:xfrm>
                      <a:off x="0" y="0"/>
                      <a:ext cx="6217920" cy="2487168"/>
                    </a:xfrm>
                    <a:prstGeom prst="rect"/>
                  </pic:spPr>
                </pic:pic>
              </a:graphicData>
            </a:graphic>
          </wp:inline>
        </w:drawing>
      </w:r>
    </w:p>
    <w:p>
      <w:pPr>
        <w:pStyle w:val="ListBullet"/>
        <w:spacing w:after="40" w:line="259" w:lineRule="auto"/>
      </w:pPr>
      <w:r>
        <w:rPr>
          <w:rFonts w:ascii="Liberation Sans" w:hAnsi="Liberation Sans"/>
          <w:color w:val="34313A"/>
          <w:sz w:val="19"/>
        </w:rPr>
        <w:t>Partner onboarding: lab identity, service locations, accreditation/licensing evidence as applicable, collection coverage, test catalogue and turnaround times.</w:t>
      </w:r>
    </w:p>
    <w:p>
      <w:pPr>
        <w:pStyle w:val="ListBullet"/>
        <w:spacing w:after="40" w:line="259" w:lineRule="auto"/>
      </w:pPr>
      <w:r>
        <w:rPr>
          <w:rFonts w:ascii="Liberation Sans" w:hAnsi="Liberation Sans"/>
          <w:color w:val="34313A"/>
          <w:sz w:val="19"/>
        </w:rPr>
        <w:t>Order intake: receive test order, patient contact details and minimum relevant clinical context after consent.</w:t>
      </w:r>
    </w:p>
    <w:p>
      <w:pPr>
        <w:pStyle w:val="ListBullet"/>
        <w:spacing w:after="40" w:line="259" w:lineRule="auto"/>
      </w:pPr>
      <w:r>
        <w:rPr>
          <w:rFonts w:ascii="Liberation Sans" w:hAnsi="Liberation Sans"/>
          <w:color w:val="34313A"/>
          <w:sz w:val="19"/>
        </w:rPr>
        <w:t>Booking: home collection or centre visit; slot, phlebotomist/collector assignment and preparation instructions.</w:t>
      </w:r>
    </w:p>
    <w:p>
      <w:pPr>
        <w:pStyle w:val="ListBullet"/>
        <w:spacing w:after="40" w:line="259" w:lineRule="auto"/>
      </w:pPr>
      <w:r>
        <w:rPr>
          <w:rFonts w:ascii="Liberation Sans" w:hAnsi="Liberation Sans"/>
          <w:color w:val="34313A"/>
          <w:sz w:val="19"/>
        </w:rPr>
        <w:t>Sample lifecycle: collected, received, processing, quality exception, completed.</w:t>
      </w:r>
    </w:p>
    <w:p>
      <w:pPr>
        <w:pStyle w:val="ListBullet"/>
        <w:spacing w:after="40" w:line="259" w:lineRule="auto"/>
      </w:pPr>
      <w:r>
        <w:rPr>
          <w:rFonts w:ascii="Liberation Sans" w:hAnsi="Liberation Sans"/>
          <w:color w:val="34313A"/>
          <w:sz w:val="19"/>
        </w:rPr>
        <w:t>Report delivery: structured result where possible plus signed report document; notify patient and ordering practitioner.</w:t>
      </w:r>
    </w:p>
    <w:p>
      <w:pPr>
        <w:pStyle w:val="ListBullet"/>
        <w:spacing w:after="40" w:line="259" w:lineRule="auto"/>
      </w:pPr>
      <w:r>
        <w:rPr>
          <w:rFonts w:ascii="Liberation Sans" w:hAnsi="Liberation Sans"/>
          <w:color w:val="34313A"/>
          <w:sz w:val="19"/>
        </w:rPr>
        <w:t>Critical-result process: configure lab and clinician escalation workflow appropriate to the service.</w:t>
      </w:r>
    </w:p>
    <w:p>
      <w:pPr>
        <w:pStyle w:val="ListBullet"/>
        <w:spacing w:after="40" w:line="259" w:lineRule="auto"/>
      </w:pPr>
      <w:r>
        <w:rPr>
          <w:rFonts w:ascii="Liberation Sans" w:hAnsi="Liberation Sans"/>
          <w:color w:val="34313A"/>
          <w:sz w:val="19"/>
        </w:rPr>
        <w:t>Settlement and reconciliation: order amount, discounts, refunds and partner payout recorded against a unique transaction.</w:t>
      </w:r>
    </w:p>
    <w:p>
      <w:r>
        <w:br w:type="page"/>
      </w:r>
    </w:p>
    <w:p>
      <w:pPr>
        <w:spacing w:before="120" w:after="40"/>
      </w:pPr>
      <w:r>
        <w:rPr>
          <w:rFonts w:ascii="Liberation Sans" w:hAnsi="Liberation Sans"/>
          <w:b/>
          <w:color w:val="812A86"/>
          <w:sz w:val="40"/>
        </w:rPr>
        <w:t>9. Pharmacy &amp; Medicine Fulfilment Journey</w:t>
      </w:r>
    </w:p>
    <w:p>
      <w:pPr>
        <w:spacing w:after="100" w:before="0" w:line="269" w:lineRule="auto"/>
      </w:pPr>
      <w:r>
        <w:rPr>
          <w:rFonts w:ascii="Liberation Sans" w:hAnsi="Liberation Sans"/>
          <w:b w:val="0"/>
          <w:color w:val="34313A"/>
          <w:sz w:val="20"/>
        </w:rPr>
        <w:t>Medicine commerce remains prescription-led where required and traceable from order to delivery.</w:t>
      </w:r>
    </w:p>
    <w:p>
      <w:pPr>
        <w:jc w:val="center"/>
      </w:pPr>
      <w:r>
        <w:drawing>
          <wp:inline xmlns:a="http://schemas.openxmlformats.org/drawingml/2006/main" xmlns:pic="http://schemas.openxmlformats.org/drawingml/2006/picture">
            <wp:extent cx="6217920" cy="2487168"/>
            <wp:docPr id="7" name="Picture 7"/>
            <wp:cNvGraphicFramePr>
              <a:graphicFrameLocks noChangeAspect="1"/>
            </wp:cNvGraphicFramePr>
            <a:graphic>
              <a:graphicData uri="http://schemas.openxmlformats.org/drawingml/2006/picture">
                <pic:pic>
                  <pic:nvPicPr>
                    <pic:cNvPr id="0" name="pharmacy.png"/>
                    <pic:cNvPicPr/>
                  </pic:nvPicPr>
                  <pic:blipFill>
                    <a:blip r:embed="rId16"/>
                    <a:stretch>
                      <a:fillRect/>
                    </a:stretch>
                  </pic:blipFill>
                  <pic:spPr>
                    <a:xfrm>
                      <a:off x="0" y="0"/>
                      <a:ext cx="6217920" cy="2487168"/>
                    </a:xfrm>
                    <a:prstGeom prst="rect"/>
                  </pic:spPr>
                </pic:pic>
              </a:graphicData>
            </a:graphic>
          </wp:inline>
        </w:drawing>
      </w:r>
    </w:p>
    <w:p>
      <w:pPr>
        <w:pStyle w:val="ListBullet"/>
        <w:spacing w:after="40" w:line="259" w:lineRule="auto"/>
      </w:pPr>
      <w:r>
        <w:rPr>
          <w:rFonts w:ascii="Liberation Sans" w:hAnsi="Liberation Sans"/>
          <w:color w:val="34313A"/>
          <w:sz w:val="19"/>
        </w:rPr>
        <w:t>Partner onboarding: business identity, applicable licences, locations, fulfilment radius, brands/categories, inventory-feed capability and return policy.</w:t>
      </w:r>
    </w:p>
    <w:p>
      <w:pPr>
        <w:pStyle w:val="ListBullet"/>
        <w:spacing w:after="40" w:line="259" w:lineRule="auto"/>
      </w:pPr>
      <w:r>
        <w:rPr>
          <w:rFonts w:ascii="Liberation Sans" w:hAnsi="Liberation Sans"/>
          <w:color w:val="34313A"/>
          <w:sz w:val="19"/>
        </w:rPr>
        <w:t>Order: prescription-linked item list, patient delivery details and fulfilment option.</w:t>
      </w:r>
    </w:p>
    <w:p>
      <w:pPr>
        <w:pStyle w:val="ListBullet"/>
        <w:spacing w:after="40" w:line="259" w:lineRule="auto"/>
      </w:pPr>
      <w:r>
        <w:rPr>
          <w:rFonts w:ascii="Liberation Sans" w:hAnsi="Liberation Sans"/>
          <w:color w:val="34313A"/>
          <w:sz w:val="19"/>
        </w:rPr>
        <w:t>Validation: check product, quantity, stock, batch/expiry controls and whether pharmacist review is required.</w:t>
      </w:r>
    </w:p>
    <w:p>
      <w:pPr>
        <w:pStyle w:val="ListBullet"/>
        <w:spacing w:after="40" w:line="259" w:lineRule="auto"/>
      </w:pPr>
      <w:r>
        <w:rPr>
          <w:rFonts w:ascii="Liberation Sans" w:hAnsi="Liberation Sans"/>
          <w:color w:val="34313A"/>
          <w:sz w:val="19"/>
        </w:rPr>
        <w:t>Substitution: no silent substitution; any allowed alternative process must follow applicable rules and practitioner/patient approval requirements.</w:t>
      </w:r>
    </w:p>
    <w:p>
      <w:pPr>
        <w:pStyle w:val="ListBullet"/>
        <w:spacing w:after="40" w:line="259" w:lineRule="auto"/>
      </w:pPr>
      <w:r>
        <w:rPr>
          <w:rFonts w:ascii="Liberation Sans" w:hAnsi="Liberation Sans"/>
          <w:color w:val="34313A"/>
          <w:sz w:val="19"/>
        </w:rPr>
        <w:t>Pack and invoice: create itemised invoice, batch/expiry capture where feasible and tamper-evident dispatch controls.</w:t>
      </w:r>
    </w:p>
    <w:p>
      <w:pPr>
        <w:pStyle w:val="ListBullet"/>
        <w:spacing w:after="40" w:line="259" w:lineRule="auto"/>
      </w:pPr>
      <w:r>
        <w:rPr>
          <w:rFonts w:ascii="Liberation Sans" w:hAnsi="Liberation Sans"/>
          <w:color w:val="34313A"/>
          <w:sz w:val="19"/>
        </w:rPr>
        <w:t>Delivery: logistics tracking, proof of delivery and exception management.</w:t>
      </w:r>
    </w:p>
    <w:p>
      <w:pPr>
        <w:pStyle w:val="ListBullet"/>
        <w:spacing w:after="40" w:line="259" w:lineRule="auto"/>
      </w:pPr>
      <w:r>
        <w:rPr>
          <w:rFonts w:ascii="Liberation Sans" w:hAnsi="Liberation Sans"/>
          <w:color w:val="34313A"/>
          <w:sz w:val="19"/>
        </w:rPr>
        <w:t>Refill: remind patient based on practitioner plan, not purely commercial repurchase logic.</w:t>
      </w:r>
    </w:p>
    <w:p>
      <w:pPr>
        <w:pStyle w:val="ListBullet"/>
        <w:spacing w:after="40" w:line="259" w:lineRule="auto"/>
      </w:pPr>
      <w:r>
        <w:rPr>
          <w:rFonts w:ascii="Liberation Sans" w:hAnsi="Liberation Sans"/>
          <w:color w:val="34313A"/>
          <w:sz w:val="19"/>
        </w:rPr>
        <w:t>Quality: recall handling, damaged product, counterfeit concern and adverse-event reporting channel.</w:t>
      </w:r>
    </w:p>
    <w:p>
      <w:r>
        <w:br w:type="page"/>
      </w:r>
    </w:p>
    <w:p>
      <w:pPr>
        <w:spacing w:before="120" w:after="40"/>
      </w:pPr>
      <w:r>
        <w:rPr>
          <w:rFonts w:ascii="Liberation Sans" w:hAnsi="Liberation Sans"/>
          <w:b/>
          <w:color w:val="812A86"/>
          <w:sz w:val="40"/>
        </w:rPr>
        <w:t>10. Admin &amp; Operations Journey</w:t>
      </w:r>
    </w:p>
    <w:p>
      <w:pPr>
        <w:spacing w:after="100" w:before="0" w:line="269" w:lineRule="auto"/>
      </w:pPr>
      <w:r>
        <w:rPr>
          <w:rFonts w:ascii="Liberation Sans" w:hAnsi="Liberation Sans"/>
          <w:b w:val="0"/>
          <w:color w:val="34313A"/>
          <w:sz w:val="20"/>
        </w:rPr>
        <w:t>Operations teams keep the network trustworthy, financially reconciled and clinically neutral.</w:t>
      </w:r>
    </w:p>
    <w:p>
      <w:pPr>
        <w:jc w:val="center"/>
      </w:pPr>
      <w:r>
        <w:drawing>
          <wp:inline xmlns:a="http://schemas.openxmlformats.org/drawingml/2006/main" xmlns:pic="http://schemas.openxmlformats.org/drawingml/2006/picture">
            <wp:extent cx="6217920" cy="2487168"/>
            <wp:docPr id="8" name="Picture 8"/>
            <wp:cNvGraphicFramePr>
              <a:graphicFrameLocks noChangeAspect="1"/>
            </wp:cNvGraphicFramePr>
            <a:graphic>
              <a:graphicData uri="http://schemas.openxmlformats.org/drawingml/2006/picture">
                <pic:pic>
                  <pic:nvPicPr>
                    <pic:cNvPr id="0" name="admin.png"/>
                    <pic:cNvPicPr/>
                  </pic:nvPicPr>
                  <pic:blipFill>
                    <a:blip r:embed="rId17"/>
                    <a:stretch>
                      <a:fillRect/>
                    </a:stretch>
                  </pic:blipFill>
                  <pic:spPr>
                    <a:xfrm>
                      <a:off x="0" y="0"/>
                      <a:ext cx="6217920" cy="2487168"/>
                    </a:xfrm>
                    <a:prstGeom prst="rect"/>
                  </pic:spPr>
                </pic:pic>
              </a:graphicData>
            </a:graphic>
          </wp:inline>
        </w:drawing>
      </w:r>
    </w:p>
    <w:p>
      <w:pPr>
        <w:pStyle w:val="ListBullet"/>
        <w:spacing w:after="40" w:line="259" w:lineRule="auto"/>
      </w:pPr>
      <w:r>
        <w:rPr>
          <w:rFonts w:ascii="Liberation Sans" w:hAnsi="Liberation Sans"/>
          <w:color w:val="34313A"/>
          <w:sz w:val="19"/>
        </w:rPr>
        <w:t>Partner verification and approval queues with maker-checker controls.</w:t>
      </w:r>
    </w:p>
    <w:p>
      <w:pPr>
        <w:pStyle w:val="ListBullet"/>
        <w:spacing w:after="40" w:line="259" w:lineRule="auto"/>
      </w:pPr>
      <w:r>
        <w:rPr>
          <w:rFonts w:ascii="Liberation Sans" w:hAnsi="Liberation Sans"/>
          <w:color w:val="34313A"/>
          <w:sz w:val="19"/>
        </w:rPr>
        <w:t>Provider/facility master data, service catalogue and geography management.</w:t>
      </w:r>
    </w:p>
    <w:p>
      <w:pPr>
        <w:pStyle w:val="ListBullet"/>
        <w:spacing w:after="40" w:line="259" w:lineRule="auto"/>
      </w:pPr>
      <w:r>
        <w:rPr>
          <w:rFonts w:ascii="Liberation Sans" w:hAnsi="Liberation Sans"/>
          <w:color w:val="34313A"/>
          <w:sz w:val="19"/>
        </w:rPr>
        <w:t>Booking, order and care-plan exception dashboards.</w:t>
      </w:r>
    </w:p>
    <w:p>
      <w:pPr>
        <w:pStyle w:val="ListBullet"/>
        <w:spacing w:after="40" w:line="259" w:lineRule="auto"/>
      </w:pPr>
      <w:r>
        <w:rPr>
          <w:rFonts w:ascii="Liberation Sans" w:hAnsi="Liberation Sans"/>
          <w:color w:val="34313A"/>
          <w:sz w:val="19"/>
        </w:rPr>
        <w:t>Care coordination work queues for missed follow-ups, failed deliveries and incomplete referrals.</w:t>
      </w:r>
    </w:p>
    <w:p>
      <w:pPr>
        <w:pStyle w:val="ListBullet"/>
        <w:spacing w:after="40" w:line="259" w:lineRule="auto"/>
      </w:pPr>
      <w:r>
        <w:rPr>
          <w:rFonts w:ascii="Liberation Sans" w:hAnsi="Liberation Sans"/>
          <w:color w:val="34313A"/>
          <w:sz w:val="19"/>
        </w:rPr>
        <w:t>Complaint, refund, dispute and safety-event case management.</w:t>
      </w:r>
    </w:p>
    <w:p>
      <w:pPr>
        <w:pStyle w:val="ListBullet"/>
        <w:spacing w:after="40" w:line="259" w:lineRule="auto"/>
      </w:pPr>
      <w:r>
        <w:rPr>
          <w:rFonts w:ascii="Liberation Sans" w:hAnsi="Liberation Sans"/>
          <w:color w:val="34313A"/>
          <w:sz w:val="19"/>
        </w:rPr>
        <w:t>Quality scoring based on objective operational metrics, not pay-to-rank.</w:t>
      </w:r>
    </w:p>
    <w:p>
      <w:pPr>
        <w:pStyle w:val="ListBullet"/>
        <w:spacing w:after="40" w:line="259" w:lineRule="auto"/>
      </w:pPr>
      <w:r>
        <w:rPr>
          <w:rFonts w:ascii="Liberation Sans" w:hAnsi="Liberation Sans"/>
          <w:color w:val="34313A"/>
          <w:sz w:val="19"/>
        </w:rPr>
        <w:t>Fraud and abuse monitoring: fake credentials, self-referral anomalies, duplicate orders, coupon abuse and suspicious payouts.</w:t>
      </w:r>
    </w:p>
    <w:p>
      <w:pPr>
        <w:pStyle w:val="ListBullet"/>
        <w:spacing w:after="40" w:line="259" w:lineRule="auto"/>
      </w:pPr>
      <w:r>
        <w:rPr>
          <w:rFonts w:ascii="Liberation Sans" w:hAnsi="Liberation Sans"/>
          <w:color w:val="34313A"/>
          <w:sz w:val="19"/>
        </w:rPr>
        <w:t>Settlement, commissions, invoices, tax documentation and reconciliation.</w:t>
      </w:r>
    </w:p>
    <w:p>
      <w:pPr>
        <w:pStyle w:val="ListBullet"/>
        <w:spacing w:after="40" w:line="259" w:lineRule="auto"/>
      </w:pPr>
      <w:r>
        <w:rPr>
          <w:rFonts w:ascii="Liberation Sans" w:hAnsi="Liberation Sans"/>
          <w:color w:val="34313A"/>
          <w:sz w:val="19"/>
        </w:rPr>
        <w:t>Role-based access, audit log review, consent support and data-subject request operations.</w:t>
      </w:r>
    </w:p>
    <w:p>
      <w:r>
        <w:br w:type="page"/>
      </w:r>
    </w:p>
    <w:p>
      <w:pPr>
        <w:spacing w:before="120" w:after="40"/>
      </w:pPr>
      <w:r>
        <w:rPr>
          <w:rFonts w:ascii="Liberation Sans" w:hAnsi="Liberation Sans"/>
          <w:b/>
          <w:color w:val="812A86"/>
          <w:sz w:val="40"/>
        </w:rPr>
        <w:t>11. Application Modules &amp; Screen Inventory</w:t>
      </w:r>
    </w:p>
    <w:p>
      <w:pPr>
        <w:spacing w:after="180"/>
      </w:pPr>
      <w:r>
        <w:rPr>
          <w:rFonts w:ascii="Liberation Sans" w:hAnsi="Liberation Sans"/>
          <w:color w:val="6B6470"/>
          <w:sz w:val="19"/>
        </w:rPr>
        <w:t>A practical inventory for UX prototyping and software estimation.</w:t>
      </w:r>
    </w:p>
    <w:p>
      <w:pPr>
        <w:spacing w:before="160" w:after="80"/>
      </w:pPr>
      <w:r>
        <w:rPr>
          <w:rFonts w:ascii="Liberation Sans" w:hAnsi="Liberation Sans"/>
          <w:b/>
          <w:color w:val="2D94C6"/>
          <w:sz w:val="26"/>
        </w:rPr>
        <w:t>Patient application</w:t>
      </w:r>
    </w:p>
    <w:tbl>
      <w:tblPr>
        <w:tblStyle w:val="TableGrid"/>
        <w:tblW w:type="auto" w:w="0"/>
        <w:jc w:val="center"/>
        <w:tblLook w:firstColumn="1" w:firstRow="1" w:lastColumn="0" w:lastRow="0" w:noHBand="0" w:noVBand="1" w:val="04A0"/>
      </w:tblPr>
      <w:tblGrid>
        <w:gridCol w:w="5040"/>
        <w:gridCol w:w="5040"/>
      </w:tblGrid>
      <w:tr>
        <w:tc>
          <w:tcPr>
            <w:tcW w:type="dxa" w:w="2304"/>
            <w:shd w:fill="812A86"/>
            <w:tcMar>
              <w:top w:w="90" w:type="dxa"/>
              <w:start w:w="90" w:type="dxa"/>
              <w:bottom w:w="90" w:type="dxa"/>
              <w:end w:w="90" w:type="dxa"/>
            </w:tcMar>
            <w:vAlign w:val="center"/>
          </w:tcPr>
          <w:p>
            <w:pPr>
              <w:jc w:val="center"/>
            </w:pPr>
            <w:r>
              <w:rPr>
                <w:rFonts w:ascii="Liberation Sans" w:hAnsi="Liberation Sans"/>
                <w:b/>
                <w:color w:val="FFFFFF"/>
                <w:sz w:val="16"/>
              </w:rPr>
              <w:t>Module</w:t>
            </w:r>
          </w:p>
        </w:tc>
        <w:tc>
          <w:tcPr>
            <w:tcW w:type="dxa" w:w="7056"/>
            <w:shd w:fill="812A86"/>
            <w:tcMar>
              <w:top w:w="90" w:type="dxa"/>
              <w:start w:w="90" w:type="dxa"/>
              <w:bottom w:w="90" w:type="dxa"/>
              <w:end w:w="90" w:type="dxa"/>
            </w:tcMar>
            <w:vAlign w:val="center"/>
          </w:tcPr>
          <w:p>
            <w:pPr>
              <w:jc w:val="center"/>
            </w:pPr>
            <w:r>
              <w:rPr>
                <w:rFonts w:ascii="Liberation Sans" w:hAnsi="Liberation Sans"/>
                <w:b/>
                <w:color w:val="FFFFFF"/>
                <w:sz w:val="16"/>
              </w:rPr>
              <w:t>Representative screens</w:t>
            </w:r>
          </w:p>
        </w:tc>
      </w:tr>
      <w:tr>
        <w:tc>
          <w:tcPr>
            <w:tcW w:type="dxa" w:w="2304"/>
            <w:tcMar>
              <w:top w:w="75" w:type="dxa"/>
              <w:start w:w="80" w:type="dxa"/>
              <w:bottom w:w="75" w:type="dxa"/>
              <w:end w:w="80" w:type="dxa"/>
            </w:tcMar>
            <w:vAlign w:val="center"/>
          </w:tcPr>
          <w:p>
            <w:r>
              <w:rPr>
                <w:rFonts w:ascii="Liberation Sans" w:hAnsi="Liberation Sans"/>
                <w:color w:val="34313A"/>
                <w:sz w:val="16"/>
              </w:rPr>
              <w:t>Access &amp; profile</w:t>
            </w:r>
          </w:p>
        </w:tc>
        <w:tc>
          <w:tcPr>
            <w:tcW w:type="dxa" w:w="7056"/>
            <w:tcMar>
              <w:top w:w="75" w:type="dxa"/>
              <w:start w:w="80" w:type="dxa"/>
              <w:bottom w:w="75" w:type="dxa"/>
              <w:end w:w="80" w:type="dxa"/>
            </w:tcMar>
            <w:vAlign w:val="center"/>
          </w:tcPr>
          <w:p>
            <w:r>
              <w:rPr>
                <w:rFonts w:ascii="Liberation Sans" w:hAnsi="Liberation Sans"/>
                <w:color w:val="34313A"/>
                <w:sz w:val="16"/>
              </w:rPr>
              <w:t>OTP login, consent, language, personal profile, family members, addresses, preferences.</w:t>
            </w:r>
          </w:p>
        </w:tc>
      </w:tr>
      <w:tr>
        <w:tc>
          <w:tcPr>
            <w:tcW w:type="dxa" w:w="2304"/>
            <w:tcMar>
              <w:top w:w="75" w:type="dxa"/>
              <w:start w:w="80" w:type="dxa"/>
              <w:bottom w:w="75" w:type="dxa"/>
              <w:end w:w="80" w:type="dxa"/>
            </w:tcMar>
            <w:vAlign w:val="center"/>
            <w:shd w:fill="FAF8FB"/>
          </w:tcPr>
          <w:p>
            <w:r>
              <w:rPr>
                <w:rFonts w:ascii="Liberation Sans" w:hAnsi="Liberation Sans"/>
                <w:color w:val="34313A"/>
                <w:sz w:val="16"/>
              </w:rPr>
              <w:t>Home &amp; discovery</w:t>
            </w:r>
          </w:p>
        </w:tc>
        <w:tc>
          <w:tcPr>
            <w:tcW w:type="dxa" w:w="7056"/>
            <w:tcMar>
              <w:top w:w="75" w:type="dxa"/>
              <w:start w:w="80" w:type="dxa"/>
              <w:bottom w:w="75" w:type="dxa"/>
              <w:end w:w="80" w:type="dxa"/>
            </w:tcMar>
            <w:vAlign w:val="center"/>
            <w:shd w:fill="FAF8FB"/>
          </w:tcPr>
          <w:p>
            <w:r>
              <w:rPr>
                <w:rFonts w:ascii="Liberation Sans" w:hAnsi="Liberation Sans"/>
                <w:color w:val="34313A"/>
                <w:sz w:val="16"/>
              </w:rPr>
              <w:t>Search, health concerns, doctors, clinics, programmes, recent plan, upcoming task.</w:t>
            </w:r>
          </w:p>
        </w:tc>
      </w:tr>
      <w:tr>
        <w:tc>
          <w:tcPr>
            <w:tcW w:type="dxa" w:w="2304"/>
            <w:tcMar>
              <w:top w:w="75" w:type="dxa"/>
              <w:start w:w="80" w:type="dxa"/>
              <w:bottom w:w="75" w:type="dxa"/>
              <w:end w:w="80" w:type="dxa"/>
            </w:tcMar>
            <w:vAlign w:val="center"/>
          </w:tcPr>
          <w:p>
            <w:r>
              <w:rPr>
                <w:rFonts w:ascii="Liberation Sans" w:hAnsi="Liberation Sans"/>
                <w:color w:val="34313A"/>
                <w:sz w:val="16"/>
              </w:rPr>
              <w:t>Practitioner discovery</w:t>
            </w:r>
          </w:p>
        </w:tc>
        <w:tc>
          <w:tcPr>
            <w:tcW w:type="dxa" w:w="7056"/>
            <w:tcMar>
              <w:top w:w="75" w:type="dxa"/>
              <w:start w:w="80" w:type="dxa"/>
              <w:bottom w:w="75" w:type="dxa"/>
              <w:end w:w="80" w:type="dxa"/>
            </w:tcMar>
            <w:vAlign w:val="center"/>
          </w:tcPr>
          <w:p>
            <w:r>
              <w:rPr>
                <w:rFonts w:ascii="Liberation Sans" w:hAnsi="Liberation Sans"/>
                <w:color w:val="34313A"/>
                <w:sz w:val="16"/>
              </w:rPr>
              <w:t>Results, filters, profile, credentials, fees, availability, consultation mode, reviews policy.</w:t>
            </w:r>
          </w:p>
        </w:tc>
      </w:tr>
      <w:tr>
        <w:tc>
          <w:tcPr>
            <w:tcW w:type="dxa" w:w="2304"/>
            <w:tcMar>
              <w:top w:w="75" w:type="dxa"/>
              <w:start w:w="80" w:type="dxa"/>
              <w:bottom w:w="75" w:type="dxa"/>
              <w:end w:w="80" w:type="dxa"/>
            </w:tcMar>
            <w:vAlign w:val="center"/>
            <w:shd w:fill="FAF8FB"/>
          </w:tcPr>
          <w:p>
            <w:r>
              <w:rPr>
                <w:rFonts w:ascii="Liberation Sans" w:hAnsi="Liberation Sans"/>
                <w:color w:val="34313A"/>
                <w:sz w:val="16"/>
              </w:rPr>
              <w:t>Appointments</w:t>
            </w:r>
          </w:p>
        </w:tc>
        <w:tc>
          <w:tcPr>
            <w:tcW w:type="dxa" w:w="7056"/>
            <w:tcMar>
              <w:top w:w="75" w:type="dxa"/>
              <w:start w:w="80" w:type="dxa"/>
              <w:bottom w:w="75" w:type="dxa"/>
              <w:end w:w="80" w:type="dxa"/>
            </w:tcMar>
            <w:vAlign w:val="center"/>
            <w:shd w:fill="FAF8FB"/>
          </w:tcPr>
          <w:p>
            <w:r>
              <w:rPr>
                <w:rFonts w:ascii="Liberation Sans" w:hAnsi="Liberation Sans"/>
                <w:color w:val="34313A"/>
                <w:sz w:val="16"/>
              </w:rPr>
              <w:t>Slot selection, reason, upload records, payment, confirmation, reschedule/cancel, waiting room.</w:t>
            </w:r>
          </w:p>
        </w:tc>
      </w:tr>
      <w:tr>
        <w:tc>
          <w:tcPr>
            <w:tcW w:type="dxa" w:w="2304"/>
            <w:tcMar>
              <w:top w:w="75" w:type="dxa"/>
              <w:start w:w="80" w:type="dxa"/>
              <w:bottom w:w="75" w:type="dxa"/>
              <w:end w:w="80" w:type="dxa"/>
            </w:tcMar>
            <w:vAlign w:val="center"/>
          </w:tcPr>
          <w:p>
            <w:r>
              <w:rPr>
                <w:rFonts w:ascii="Liberation Sans" w:hAnsi="Liberation Sans"/>
                <w:color w:val="34313A"/>
                <w:sz w:val="16"/>
              </w:rPr>
              <w:t>Consultation</w:t>
            </w:r>
          </w:p>
        </w:tc>
        <w:tc>
          <w:tcPr>
            <w:tcW w:type="dxa" w:w="7056"/>
            <w:tcMar>
              <w:top w:w="75" w:type="dxa"/>
              <w:start w:w="80" w:type="dxa"/>
              <w:bottom w:w="75" w:type="dxa"/>
              <w:end w:w="80" w:type="dxa"/>
            </w:tcMar>
            <w:vAlign w:val="center"/>
          </w:tcPr>
          <w:p>
            <w:r>
              <w:rPr>
                <w:rFonts w:ascii="Liberation Sans" w:hAnsi="Liberation Sans"/>
                <w:color w:val="34313A"/>
                <w:sz w:val="16"/>
              </w:rPr>
              <w:t>Pre-consult questionnaire, video launch, notes/summary, prescription, documents.</w:t>
            </w:r>
          </w:p>
        </w:tc>
      </w:tr>
      <w:tr>
        <w:tc>
          <w:tcPr>
            <w:tcW w:type="dxa" w:w="2304"/>
            <w:tcMar>
              <w:top w:w="75" w:type="dxa"/>
              <w:start w:w="80" w:type="dxa"/>
              <w:bottom w:w="75" w:type="dxa"/>
              <w:end w:w="80" w:type="dxa"/>
            </w:tcMar>
            <w:vAlign w:val="center"/>
            <w:shd w:fill="FAF8FB"/>
          </w:tcPr>
          <w:p>
            <w:r>
              <w:rPr>
                <w:rFonts w:ascii="Liberation Sans" w:hAnsi="Liberation Sans"/>
                <w:color w:val="34313A"/>
                <w:sz w:val="16"/>
              </w:rPr>
              <w:t>Care Plan</w:t>
            </w:r>
          </w:p>
        </w:tc>
        <w:tc>
          <w:tcPr>
            <w:tcW w:type="dxa" w:w="7056"/>
            <w:tcMar>
              <w:top w:w="75" w:type="dxa"/>
              <w:start w:w="80" w:type="dxa"/>
              <w:bottom w:w="75" w:type="dxa"/>
              <w:end w:w="80" w:type="dxa"/>
            </w:tcMar>
            <w:vAlign w:val="center"/>
            <w:shd w:fill="FAF8FB"/>
          </w:tcPr>
          <w:p>
            <w:r>
              <w:rPr>
                <w:rFonts w:ascii="Liberation Sans" w:hAnsi="Liberation Sans"/>
                <w:color w:val="34313A"/>
                <w:sz w:val="16"/>
              </w:rPr>
              <w:t>Timeline, medicines, tests, therapies, diet/lifestyle, tasks, progress, follow-up.</w:t>
            </w:r>
          </w:p>
        </w:tc>
      </w:tr>
      <w:tr>
        <w:tc>
          <w:tcPr>
            <w:tcW w:type="dxa" w:w="2304"/>
            <w:tcMar>
              <w:top w:w="75" w:type="dxa"/>
              <w:start w:w="80" w:type="dxa"/>
              <w:bottom w:w="75" w:type="dxa"/>
              <w:end w:w="80" w:type="dxa"/>
            </w:tcMar>
            <w:vAlign w:val="center"/>
          </w:tcPr>
          <w:p>
            <w:r>
              <w:rPr>
                <w:rFonts w:ascii="Liberation Sans" w:hAnsi="Liberation Sans"/>
                <w:color w:val="34313A"/>
                <w:sz w:val="16"/>
              </w:rPr>
              <w:t>Diagnostics</w:t>
            </w:r>
          </w:p>
        </w:tc>
        <w:tc>
          <w:tcPr>
            <w:tcW w:type="dxa" w:w="7056"/>
            <w:tcMar>
              <w:top w:w="75" w:type="dxa"/>
              <w:start w:w="80" w:type="dxa"/>
              <w:bottom w:w="75" w:type="dxa"/>
              <w:end w:w="80" w:type="dxa"/>
            </w:tcMar>
            <w:vAlign w:val="center"/>
          </w:tcPr>
          <w:p>
            <w:r>
              <w:rPr>
                <w:rFonts w:ascii="Liberation Sans" w:hAnsi="Liberation Sans"/>
                <w:color w:val="34313A"/>
                <w:sz w:val="16"/>
              </w:rPr>
              <w:t>Test order, partner/slot, preparation, collection status, reports.</w:t>
            </w:r>
          </w:p>
        </w:tc>
      </w:tr>
      <w:tr>
        <w:tc>
          <w:tcPr>
            <w:tcW w:type="dxa" w:w="2304"/>
            <w:tcMar>
              <w:top w:w="75" w:type="dxa"/>
              <w:start w:w="80" w:type="dxa"/>
              <w:bottom w:w="75" w:type="dxa"/>
              <w:end w:w="80" w:type="dxa"/>
            </w:tcMar>
            <w:vAlign w:val="center"/>
            <w:shd w:fill="FAF8FB"/>
          </w:tcPr>
          <w:p>
            <w:r>
              <w:rPr>
                <w:rFonts w:ascii="Liberation Sans" w:hAnsi="Liberation Sans"/>
                <w:color w:val="34313A"/>
                <w:sz w:val="16"/>
              </w:rPr>
              <w:t>Medicines</w:t>
            </w:r>
          </w:p>
        </w:tc>
        <w:tc>
          <w:tcPr>
            <w:tcW w:type="dxa" w:w="7056"/>
            <w:tcMar>
              <w:top w:w="75" w:type="dxa"/>
              <w:start w:w="80" w:type="dxa"/>
              <w:bottom w:w="75" w:type="dxa"/>
              <w:end w:w="80" w:type="dxa"/>
            </w:tcMar>
            <w:vAlign w:val="center"/>
            <w:shd w:fill="FAF8FB"/>
          </w:tcPr>
          <w:p>
            <w:r>
              <w:rPr>
                <w:rFonts w:ascii="Liberation Sans" w:hAnsi="Liberation Sans"/>
                <w:color w:val="34313A"/>
                <w:sz w:val="16"/>
              </w:rPr>
              <w:t>Prescription cart, partner selection, order, invoice, delivery tracking, refill.</w:t>
            </w:r>
          </w:p>
        </w:tc>
      </w:tr>
      <w:tr>
        <w:tc>
          <w:tcPr>
            <w:tcW w:type="dxa" w:w="2304"/>
            <w:tcMar>
              <w:top w:w="75" w:type="dxa"/>
              <w:start w:w="80" w:type="dxa"/>
              <w:bottom w:w="75" w:type="dxa"/>
              <w:end w:w="80" w:type="dxa"/>
            </w:tcMar>
            <w:vAlign w:val="center"/>
          </w:tcPr>
          <w:p>
            <w:r>
              <w:rPr>
                <w:rFonts w:ascii="Liberation Sans" w:hAnsi="Liberation Sans"/>
                <w:color w:val="34313A"/>
                <w:sz w:val="16"/>
              </w:rPr>
              <w:t>Panchakarma</w:t>
            </w:r>
          </w:p>
        </w:tc>
        <w:tc>
          <w:tcPr>
            <w:tcW w:type="dxa" w:w="7056"/>
            <w:tcMar>
              <w:top w:w="75" w:type="dxa"/>
              <w:start w:w="80" w:type="dxa"/>
              <w:bottom w:w="75" w:type="dxa"/>
              <w:end w:w="80" w:type="dxa"/>
            </w:tcMar>
            <w:vAlign w:val="center"/>
          </w:tcPr>
          <w:p>
            <w:r>
              <w:rPr>
                <w:rFonts w:ascii="Liberation Sans" w:hAnsi="Liberation Sans"/>
                <w:color w:val="34313A"/>
                <w:sz w:val="16"/>
              </w:rPr>
              <w:t>Referral, eligible centres, service details, package/session schedule, preparation, attendance.</w:t>
            </w:r>
          </w:p>
        </w:tc>
      </w:tr>
      <w:tr>
        <w:tc>
          <w:tcPr>
            <w:tcW w:type="dxa" w:w="2304"/>
            <w:tcMar>
              <w:top w:w="75" w:type="dxa"/>
              <w:start w:w="80" w:type="dxa"/>
              <w:bottom w:w="75" w:type="dxa"/>
              <w:end w:w="80" w:type="dxa"/>
            </w:tcMar>
            <w:vAlign w:val="center"/>
            <w:shd w:fill="FAF8FB"/>
          </w:tcPr>
          <w:p>
            <w:r>
              <w:rPr>
                <w:rFonts w:ascii="Liberation Sans" w:hAnsi="Liberation Sans"/>
                <w:color w:val="34313A"/>
                <w:sz w:val="16"/>
              </w:rPr>
              <w:t>Records</w:t>
            </w:r>
          </w:p>
        </w:tc>
        <w:tc>
          <w:tcPr>
            <w:tcW w:type="dxa" w:w="7056"/>
            <w:tcMar>
              <w:top w:w="75" w:type="dxa"/>
              <w:start w:w="80" w:type="dxa"/>
              <w:bottom w:w="75" w:type="dxa"/>
              <w:end w:w="80" w:type="dxa"/>
            </w:tcMar>
            <w:vAlign w:val="center"/>
            <w:shd w:fill="FAF8FB"/>
          </w:tcPr>
          <w:p>
            <w:r>
              <w:rPr>
                <w:rFonts w:ascii="Liberation Sans" w:hAnsi="Liberation Sans"/>
                <w:color w:val="34313A"/>
                <w:sz w:val="16"/>
              </w:rPr>
              <w:t>Consultations, prescriptions, reports, invoices, uploaded documents, consented sharing.</w:t>
            </w:r>
          </w:p>
        </w:tc>
      </w:tr>
      <w:tr>
        <w:tc>
          <w:tcPr>
            <w:tcW w:type="dxa" w:w="2304"/>
            <w:tcMar>
              <w:top w:w="75" w:type="dxa"/>
              <w:start w:w="80" w:type="dxa"/>
              <w:bottom w:w="75" w:type="dxa"/>
              <w:end w:w="80" w:type="dxa"/>
            </w:tcMar>
            <w:vAlign w:val="center"/>
          </w:tcPr>
          <w:p>
            <w:r>
              <w:rPr>
                <w:rFonts w:ascii="Liberation Sans" w:hAnsi="Liberation Sans"/>
                <w:color w:val="34313A"/>
                <w:sz w:val="16"/>
              </w:rPr>
              <w:t>Support</w:t>
            </w:r>
          </w:p>
        </w:tc>
        <w:tc>
          <w:tcPr>
            <w:tcW w:type="dxa" w:w="7056"/>
            <w:tcMar>
              <w:top w:w="75" w:type="dxa"/>
              <w:start w:w="80" w:type="dxa"/>
              <w:bottom w:w="75" w:type="dxa"/>
              <w:end w:w="80" w:type="dxa"/>
            </w:tcMar>
            <w:vAlign w:val="center"/>
          </w:tcPr>
          <w:p>
            <w:r>
              <w:rPr>
                <w:rFonts w:ascii="Liberation Sans" w:hAnsi="Liberation Sans"/>
                <w:color w:val="34313A"/>
                <w:sz w:val="16"/>
              </w:rPr>
              <w:t>Chat/call, complaint, refund status, safety issue, FAQs.</w:t>
            </w:r>
          </w:p>
        </w:tc>
      </w:tr>
      <w:tr>
        <w:tc>
          <w:tcPr>
            <w:tcW w:type="dxa" w:w="2304"/>
            <w:tcMar>
              <w:top w:w="75" w:type="dxa"/>
              <w:start w:w="80" w:type="dxa"/>
              <w:bottom w:w="75" w:type="dxa"/>
              <w:end w:w="80" w:type="dxa"/>
            </w:tcMar>
            <w:vAlign w:val="center"/>
            <w:shd w:fill="FAF8FB"/>
          </w:tcPr>
          <w:p>
            <w:r>
              <w:rPr>
                <w:rFonts w:ascii="Liberation Sans" w:hAnsi="Liberation Sans"/>
                <w:color w:val="34313A"/>
                <w:sz w:val="16"/>
              </w:rPr>
              <w:t>Account</w:t>
            </w:r>
          </w:p>
        </w:tc>
        <w:tc>
          <w:tcPr>
            <w:tcW w:type="dxa" w:w="7056"/>
            <w:tcMar>
              <w:top w:w="75" w:type="dxa"/>
              <w:start w:w="80" w:type="dxa"/>
              <w:bottom w:w="75" w:type="dxa"/>
              <w:end w:w="80" w:type="dxa"/>
            </w:tcMar>
            <w:vAlign w:val="center"/>
            <w:shd w:fill="FAF8FB"/>
          </w:tcPr>
          <w:p>
            <w:r>
              <w:rPr>
                <w:rFonts w:ascii="Liberation Sans" w:hAnsi="Liberation Sans"/>
                <w:color w:val="34313A"/>
                <w:sz w:val="16"/>
              </w:rPr>
              <w:t>Payments, privacy/consent, notifications, connected records, language, delete/request controls.</w:t>
            </w:r>
          </w:p>
        </w:tc>
      </w:tr>
    </w:tbl>
    <w:p>
      <w:pPr>
        <w:spacing w:after="20"/>
      </w:pPr>
    </w:p>
    <w:p>
      <w:pPr>
        <w:spacing w:before="160" w:after="80"/>
      </w:pPr>
      <w:r>
        <w:rPr>
          <w:rFonts w:ascii="Liberation Sans" w:hAnsi="Liberation Sans"/>
          <w:b/>
          <w:color w:val="2D94C6"/>
          <w:sz w:val="26"/>
        </w:rPr>
        <w:t>Doctor portal</w:t>
      </w:r>
    </w:p>
    <w:tbl>
      <w:tblPr>
        <w:tblStyle w:val="TableGrid"/>
        <w:tblW w:type="auto" w:w="0"/>
        <w:jc w:val="center"/>
        <w:tblLook w:firstColumn="1" w:firstRow="1" w:lastColumn="0" w:lastRow="0" w:noHBand="0" w:noVBand="1" w:val="04A0"/>
      </w:tblPr>
      <w:tblGrid>
        <w:gridCol w:w="5040"/>
        <w:gridCol w:w="5040"/>
      </w:tblGrid>
      <w:tr>
        <w:tc>
          <w:tcPr>
            <w:tcW w:type="dxa" w:w="2232"/>
            <w:shd w:fill="812A86"/>
            <w:tcMar>
              <w:top w:w="90" w:type="dxa"/>
              <w:start w:w="90" w:type="dxa"/>
              <w:bottom w:w="90" w:type="dxa"/>
              <w:end w:w="90" w:type="dxa"/>
            </w:tcMar>
            <w:vAlign w:val="center"/>
          </w:tcPr>
          <w:p>
            <w:pPr>
              <w:jc w:val="center"/>
            </w:pPr>
            <w:r>
              <w:rPr>
                <w:rFonts w:ascii="Liberation Sans" w:hAnsi="Liberation Sans"/>
                <w:b/>
                <w:color w:val="FFFFFF"/>
                <w:sz w:val="16"/>
              </w:rPr>
              <w:t>Module</w:t>
            </w:r>
          </w:p>
        </w:tc>
        <w:tc>
          <w:tcPr>
            <w:tcW w:type="dxa" w:w="7128"/>
            <w:shd w:fill="812A86"/>
            <w:tcMar>
              <w:top w:w="90" w:type="dxa"/>
              <w:start w:w="90" w:type="dxa"/>
              <w:bottom w:w="90" w:type="dxa"/>
              <w:end w:w="90" w:type="dxa"/>
            </w:tcMar>
            <w:vAlign w:val="center"/>
          </w:tcPr>
          <w:p>
            <w:pPr>
              <w:jc w:val="center"/>
            </w:pPr>
            <w:r>
              <w:rPr>
                <w:rFonts w:ascii="Liberation Sans" w:hAnsi="Liberation Sans"/>
                <w:b/>
                <w:color w:val="FFFFFF"/>
                <w:sz w:val="16"/>
              </w:rPr>
              <w:t>Capabilities</w:t>
            </w:r>
          </w:p>
        </w:tc>
      </w:tr>
      <w:tr>
        <w:tc>
          <w:tcPr>
            <w:tcW w:type="dxa" w:w="2232"/>
            <w:tcMar>
              <w:top w:w="75" w:type="dxa"/>
              <w:start w:w="80" w:type="dxa"/>
              <w:bottom w:w="75" w:type="dxa"/>
              <w:end w:w="80" w:type="dxa"/>
            </w:tcMar>
            <w:vAlign w:val="center"/>
          </w:tcPr>
          <w:p>
            <w:r>
              <w:rPr>
                <w:rFonts w:ascii="Liberation Sans" w:hAnsi="Liberation Sans"/>
                <w:color w:val="34313A"/>
                <w:sz w:val="16"/>
              </w:rPr>
              <w:t>Dashboard</w:t>
            </w:r>
          </w:p>
        </w:tc>
        <w:tc>
          <w:tcPr>
            <w:tcW w:type="dxa" w:w="7128"/>
            <w:tcMar>
              <w:top w:w="75" w:type="dxa"/>
              <w:start w:w="80" w:type="dxa"/>
              <w:bottom w:w="75" w:type="dxa"/>
              <w:end w:w="80" w:type="dxa"/>
            </w:tcMar>
            <w:vAlign w:val="center"/>
          </w:tcPr>
          <w:p>
            <w:r>
              <w:rPr>
                <w:rFonts w:ascii="Liberation Sans" w:hAnsi="Liberation Sans"/>
                <w:color w:val="34313A"/>
                <w:sz w:val="16"/>
              </w:rPr>
              <w:t>Today’s appointments, follow-ups, unread reports, care-plan exceptions, tasks.</w:t>
            </w:r>
          </w:p>
        </w:tc>
      </w:tr>
      <w:tr>
        <w:tc>
          <w:tcPr>
            <w:tcW w:type="dxa" w:w="2232"/>
            <w:tcMar>
              <w:top w:w="75" w:type="dxa"/>
              <w:start w:w="80" w:type="dxa"/>
              <w:bottom w:w="75" w:type="dxa"/>
              <w:end w:w="80" w:type="dxa"/>
            </w:tcMar>
            <w:vAlign w:val="center"/>
            <w:shd w:fill="FAF8FB"/>
          </w:tcPr>
          <w:p>
            <w:r>
              <w:rPr>
                <w:rFonts w:ascii="Liberation Sans" w:hAnsi="Liberation Sans"/>
                <w:color w:val="34313A"/>
                <w:sz w:val="16"/>
              </w:rPr>
              <w:t>Schedule</w:t>
            </w:r>
          </w:p>
        </w:tc>
        <w:tc>
          <w:tcPr>
            <w:tcW w:type="dxa" w:w="7128"/>
            <w:tcMar>
              <w:top w:w="75" w:type="dxa"/>
              <w:start w:w="80" w:type="dxa"/>
              <w:bottom w:w="75" w:type="dxa"/>
              <w:end w:w="80" w:type="dxa"/>
            </w:tcMar>
            <w:vAlign w:val="center"/>
            <w:shd w:fill="FAF8FB"/>
          </w:tcPr>
          <w:p>
            <w:r>
              <w:rPr>
                <w:rFonts w:ascii="Liberation Sans" w:hAnsi="Liberation Sans"/>
                <w:color w:val="34313A"/>
                <w:sz w:val="16"/>
              </w:rPr>
              <w:t>Online/clinic calendar, leave, availability, team calendars.</w:t>
            </w:r>
          </w:p>
        </w:tc>
      </w:tr>
      <w:tr>
        <w:tc>
          <w:tcPr>
            <w:tcW w:type="dxa" w:w="2232"/>
            <w:tcMar>
              <w:top w:w="75" w:type="dxa"/>
              <w:start w:w="80" w:type="dxa"/>
              <w:bottom w:w="75" w:type="dxa"/>
              <w:end w:w="80" w:type="dxa"/>
            </w:tcMar>
            <w:vAlign w:val="center"/>
          </w:tcPr>
          <w:p>
            <w:r>
              <w:rPr>
                <w:rFonts w:ascii="Liberation Sans" w:hAnsi="Liberation Sans"/>
                <w:color w:val="34313A"/>
                <w:sz w:val="16"/>
              </w:rPr>
              <w:t>Patient chart</w:t>
            </w:r>
          </w:p>
        </w:tc>
        <w:tc>
          <w:tcPr>
            <w:tcW w:type="dxa" w:w="7128"/>
            <w:tcMar>
              <w:top w:w="75" w:type="dxa"/>
              <w:start w:w="80" w:type="dxa"/>
              <w:bottom w:w="75" w:type="dxa"/>
              <w:end w:w="80" w:type="dxa"/>
            </w:tcMar>
            <w:vAlign w:val="center"/>
          </w:tcPr>
          <w:p>
            <w:r>
              <w:rPr>
                <w:rFonts w:ascii="Liberation Sans" w:hAnsi="Liberation Sans"/>
                <w:color w:val="34313A"/>
                <w:sz w:val="16"/>
              </w:rPr>
              <w:t>Demographics, history, allergies, current medicines, reports, encounters, consent.</w:t>
            </w:r>
          </w:p>
        </w:tc>
      </w:tr>
      <w:tr>
        <w:tc>
          <w:tcPr>
            <w:tcW w:type="dxa" w:w="2232"/>
            <w:tcMar>
              <w:top w:w="75" w:type="dxa"/>
              <w:start w:w="80" w:type="dxa"/>
              <w:bottom w:w="75" w:type="dxa"/>
              <w:end w:w="80" w:type="dxa"/>
            </w:tcMar>
            <w:vAlign w:val="center"/>
            <w:shd w:fill="FAF8FB"/>
          </w:tcPr>
          <w:p>
            <w:r>
              <w:rPr>
                <w:rFonts w:ascii="Liberation Sans" w:hAnsi="Liberation Sans"/>
                <w:color w:val="34313A"/>
                <w:sz w:val="16"/>
              </w:rPr>
              <w:t>Clinical note</w:t>
            </w:r>
          </w:p>
        </w:tc>
        <w:tc>
          <w:tcPr>
            <w:tcW w:type="dxa" w:w="7128"/>
            <w:tcMar>
              <w:top w:w="75" w:type="dxa"/>
              <w:start w:w="80" w:type="dxa"/>
              <w:bottom w:w="75" w:type="dxa"/>
              <w:end w:w="80" w:type="dxa"/>
            </w:tcMar>
            <w:vAlign w:val="center"/>
            <w:shd w:fill="FAF8FB"/>
          </w:tcPr>
          <w:p>
            <w:r>
              <w:rPr>
                <w:rFonts w:ascii="Liberation Sans" w:hAnsi="Liberation Sans"/>
                <w:color w:val="34313A"/>
                <w:sz w:val="16"/>
              </w:rPr>
              <w:t>History, examination/findings, Ayurveda assessment, diagnosis/assessment, plan.</w:t>
            </w:r>
          </w:p>
        </w:tc>
      </w:tr>
      <w:tr>
        <w:tc>
          <w:tcPr>
            <w:tcW w:type="dxa" w:w="2232"/>
            <w:tcMar>
              <w:top w:w="75" w:type="dxa"/>
              <w:start w:w="80" w:type="dxa"/>
              <w:bottom w:w="75" w:type="dxa"/>
              <w:end w:w="80" w:type="dxa"/>
            </w:tcMar>
            <w:vAlign w:val="center"/>
          </w:tcPr>
          <w:p>
            <w:r>
              <w:rPr>
                <w:rFonts w:ascii="Liberation Sans" w:hAnsi="Liberation Sans"/>
                <w:color w:val="34313A"/>
                <w:sz w:val="16"/>
              </w:rPr>
              <w:t>Prescription</w:t>
            </w:r>
          </w:p>
        </w:tc>
        <w:tc>
          <w:tcPr>
            <w:tcW w:type="dxa" w:w="7128"/>
            <w:tcMar>
              <w:top w:w="75" w:type="dxa"/>
              <w:start w:w="80" w:type="dxa"/>
              <w:bottom w:w="75" w:type="dxa"/>
              <w:end w:w="80" w:type="dxa"/>
            </w:tcMar>
            <w:vAlign w:val="center"/>
          </w:tcPr>
          <w:p>
            <w:r>
              <w:rPr>
                <w:rFonts w:ascii="Liberation Sans" w:hAnsi="Liberation Sans"/>
                <w:color w:val="34313A"/>
                <w:sz w:val="16"/>
              </w:rPr>
              <w:t>Medicine selection, instructions, duration, warnings, signed prescription.</w:t>
            </w:r>
          </w:p>
        </w:tc>
      </w:tr>
      <w:tr>
        <w:tc>
          <w:tcPr>
            <w:tcW w:type="dxa" w:w="2232"/>
            <w:tcMar>
              <w:top w:w="75" w:type="dxa"/>
              <w:start w:w="80" w:type="dxa"/>
              <w:bottom w:w="75" w:type="dxa"/>
              <w:end w:w="80" w:type="dxa"/>
            </w:tcMar>
            <w:vAlign w:val="center"/>
            <w:shd w:fill="FAF8FB"/>
          </w:tcPr>
          <w:p>
            <w:r>
              <w:rPr>
                <w:rFonts w:ascii="Liberation Sans" w:hAnsi="Liberation Sans"/>
                <w:color w:val="34313A"/>
                <w:sz w:val="16"/>
              </w:rPr>
              <w:t>Diagnostics</w:t>
            </w:r>
          </w:p>
        </w:tc>
        <w:tc>
          <w:tcPr>
            <w:tcW w:type="dxa" w:w="7128"/>
            <w:tcMar>
              <w:top w:w="75" w:type="dxa"/>
              <w:start w:w="80" w:type="dxa"/>
              <w:bottom w:w="75" w:type="dxa"/>
              <w:end w:w="80" w:type="dxa"/>
            </w:tcMar>
            <w:vAlign w:val="center"/>
            <w:shd w:fill="FAF8FB"/>
          </w:tcPr>
          <w:p>
            <w:r>
              <w:rPr>
                <w:rFonts w:ascii="Liberation Sans" w:hAnsi="Liberation Sans"/>
                <w:color w:val="34313A"/>
                <w:sz w:val="16"/>
              </w:rPr>
              <w:t>Order tests, preferred criteria, result review and acknowledgement.</w:t>
            </w:r>
          </w:p>
        </w:tc>
      </w:tr>
      <w:tr>
        <w:tc>
          <w:tcPr>
            <w:tcW w:type="dxa" w:w="2232"/>
            <w:tcMar>
              <w:top w:w="75" w:type="dxa"/>
              <w:start w:w="80" w:type="dxa"/>
              <w:bottom w:w="75" w:type="dxa"/>
              <w:end w:w="80" w:type="dxa"/>
            </w:tcMar>
            <w:vAlign w:val="center"/>
          </w:tcPr>
          <w:p>
            <w:r>
              <w:rPr>
                <w:rFonts w:ascii="Liberation Sans" w:hAnsi="Liberation Sans"/>
                <w:color w:val="34313A"/>
                <w:sz w:val="16"/>
              </w:rPr>
              <w:t>Therapy referral</w:t>
            </w:r>
          </w:p>
        </w:tc>
        <w:tc>
          <w:tcPr>
            <w:tcW w:type="dxa" w:w="7128"/>
            <w:tcMar>
              <w:top w:w="75" w:type="dxa"/>
              <w:start w:w="80" w:type="dxa"/>
              <w:bottom w:w="75" w:type="dxa"/>
              <w:end w:w="80" w:type="dxa"/>
            </w:tcMar>
            <w:vAlign w:val="center"/>
          </w:tcPr>
          <w:p>
            <w:r>
              <w:rPr>
                <w:rFonts w:ascii="Liberation Sans" w:hAnsi="Liberation Sans"/>
                <w:color w:val="34313A"/>
                <w:sz w:val="16"/>
              </w:rPr>
              <w:t>Panchakarma/therapy recommendation, prerequisites, session count, instructions.</w:t>
            </w:r>
          </w:p>
        </w:tc>
      </w:tr>
      <w:tr>
        <w:tc>
          <w:tcPr>
            <w:tcW w:type="dxa" w:w="2232"/>
            <w:tcMar>
              <w:top w:w="75" w:type="dxa"/>
              <w:start w:w="80" w:type="dxa"/>
              <w:bottom w:w="75" w:type="dxa"/>
              <w:end w:w="80" w:type="dxa"/>
            </w:tcMar>
            <w:vAlign w:val="center"/>
            <w:shd w:fill="FAF8FB"/>
          </w:tcPr>
          <w:p>
            <w:r>
              <w:rPr>
                <w:rFonts w:ascii="Liberation Sans" w:hAnsi="Liberation Sans"/>
                <w:color w:val="34313A"/>
                <w:sz w:val="16"/>
              </w:rPr>
              <w:t>Care Plan</w:t>
            </w:r>
          </w:p>
        </w:tc>
        <w:tc>
          <w:tcPr>
            <w:tcW w:type="dxa" w:w="7128"/>
            <w:tcMar>
              <w:top w:w="75" w:type="dxa"/>
              <w:start w:w="80" w:type="dxa"/>
              <w:bottom w:w="75" w:type="dxa"/>
              <w:end w:w="80" w:type="dxa"/>
            </w:tcMar>
            <w:vAlign w:val="center"/>
            <w:shd w:fill="FAF8FB"/>
          </w:tcPr>
          <w:p>
            <w:r>
              <w:rPr>
                <w:rFonts w:ascii="Liberation Sans" w:hAnsi="Liberation Sans"/>
                <w:color w:val="34313A"/>
                <w:sz w:val="16"/>
              </w:rPr>
              <w:t>Goals, tasks, interventions, milestones, adherence, outcomes, follow-up.</w:t>
            </w:r>
          </w:p>
        </w:tc>
      </w:tr>
      <w:tr>
        <w:tc>
          <w:tcPr>
            <w:tcW w:type="dxa" w:w="2232"/>
            <w:tcMar>
              <w:top w:w="75" w:type="dxa"/>
              <w:start w:w="80" w:type="dxa"/>
              <w:bottom w:w="75" w:type="dxa"/>
              <w:end w:w="80" w:type="dxa"/>
            </w:tcMar>
            <w:vAlign w:val="center"/>
          </w:tcPr>
          <w:p>
            <w:r>
              <w:rPr>
                <w:rFonts w:ascii="Liberation Sans" w:hAnsi="Liberation Sans"/>
                <w:color w:val="34313A"/>
                <w:sz w:val="16"/>
              </w:rPr>
              <w:t>Communication</w:t>
            </w:r>
          </w:p>
        </w:tc>
        <w:tc>
          <w:tcPr>
            <w:tcW w:type="dxa" w:w="7128"/>
            <w:tcMar>
              <w:top w:w="75" w:type="dxa"/>
              <w:start w:w="80" w:type="dxa"/>
              <w:bottom w:w="75" w:type="dxa"/>
              <w:end w:w="80" w:type="dxa"/>
            </w:tcMar>
            <w:vAlign w:val="center"/>
          </w:tcPr>
          <w:p>
            <w:r>
              <w:rPr>
                <w:rFonts w:ascii="Liberation Sans" w:hAnsi="Liberation Sans"/>
                <w:color w:val="34313A"/>
                <w:sz w:val="16"/>
              </w:rPr>
              <w:t>Approved patient messages, education material, reminders, care-coordinator handoff.</w:t>
            </w:r>
          </w:p>
        </w:tc>
      </w:tr>
      <w:tr>
        <w:tc>
          <w:tcPr>
            <w:tcW w:type="dxa" w:w="2232"/>
            <w:tcMar>
              <w:top w:w="75" w:type="dxa"/>
              <w:start w:w="80" w:type="dxa"/>
              <w:bottom w:w="75" w:type="dxa"/>
              <w:end w:w="80" w:type="dxa"/>
            </w:tcMar>
            <w:vAlign w:val="center"/>
            <w:shd w:fill="FAF8FB"/>
          </w:tcPr>
          <w:p>
            <w:r>
              <w:rPr>
                <w:rFonts w:ascii="Liberation Sans" w:hAnsi="Liberation Sans"/>
                <w:color w:val="34313A"/>
                <w:sz w:val="16"/>
              </w:rPr>
              <w:t>Practice admin</w:t>
            </w:r>
          </w:p>
        </w:tc>
        <w:tc>
          <w:tcPr>
            <w:tcW w:type="dxa" w:w="7128"/>
            <w:tcMar>
              <w:top w:w="75" w:type="dxa"/>
              <w:start w:w="80" w:type="dxa"/>
              <w:bottom w:w="75" w:type="dxa"/>
              <w:end w:w="80" w:type="dxa"/>
            </w:tcMar>
            <w:vAlign w:val="center"/>
            <w:shd w:fill="FAF8FB"/>
          </w:tcPr>
          <w:p>
            <w:r>
              <w:rPr>
                <w:rFonts w:ascii="Liberation Sans" w:hAnsi="Liberation Sans"/>
                <w:color w:val="34313A"/>
                <w:sz w:val="16"/>
              </w:rPr>
              <w:t>Fees, invoices, staff access, locations, integrations, analytics.</w:t>
            </w:r>
          </w:p>
        </w:tc>
      </w:tr>
    </w:tbl>
    <w:p>
      <w:pPr>
        <w:spacing w:after="20"/>
      </w:pPr>
    </w:p>
    <w:p>
      <w:pPr>
        <w:spacing w:before="160" w:after="80"/>
      </w:pPr>
      <w:r>
        <w:rPr>
          <w:rFonts w:ascii="Liberation Sans" w:hAnsi="Liberation Sans"/>
          <w:b/>
          <w:color w:val="2D94C6"/>
          <w:sz w:val="26"/>
        </w:rPr>
        <w:t>Partner portals</w:t>
      </w:r>
    </w:p>
    <w:tbl>
      <w:tblPr>
        <w:tblStyle w:val="TableGrid"/>
        <w:tblW w:type="auto" w:w="0"/>
        <w:jc w:val="center"/>
        <w:tblLook w:firstColumn="1" w:firstRow="1" w:lastColumn="0" w:lastRow="0" w:noHBand="0" w:noVBand="1" w:val="04A0"/>
      </w:tblPr>
      <w:tblGrid>
        <w:gridCol w:w="5040"/>
        <w:gridCol w:w="5040"/>
      </w:tblGrid>
      <w:tr>
        <w:tc>
          <w:tcPr>
            <w:tcW w:type="dxa" w:w="2376"/>
            <w:shd w:fill="812A86"/>
            <w:tcMar>
              <w:top w:w="90" w:type="dxa"/>
              <w:start w:w="90" w:type="dxa"/>
              <w:bottom w:w="90" w:type="dxa"/>
              <w:end w:w="90" w:type="dxa"/>
            </w:tcMar>
            <w:vAlign w:val="center"/>
          </w:tcPr>
          <w:p>
            <w:pPr>
              <w:jc w:val="center"/>
            </w:pPr>
            <w:r>
              <w:rPr>
                <w:rFonts w:ascii="Liberation Sans" w:hAnsi="Liberation Sans"/>
                <w:b/>
                <w:color w:val="FFFFFF"/>
                <w:sz w:val="16"/>
              </w:rPr>
              <w:t>Partner</w:t>
            </w:r>
          </w:p>
        </w:tc>
        <w:tc>
          <w:tcPr>
            <w:tcW w:type="dxa" w:w="6984"/>
            <w:shd w:fill="812A86"/>
            <w:tcMar>
              <w:top w:w="90" w:type="dxa"/>
              <w:start w:w="90" w:type="dxa"/>
              <w:bottom w:w="90" w:type="dxa"/>
              <w:end w:w="90" w:type="dxa"/>
            </w:tcMar>
            <w:vAlign w:val="center"/>
          </w:tcPr>
          <w:p>
            <w:pPr>
              <w:jc w:val="center"/>
            </w:pPr>
            <w:r>
              <w:rPr>
                <w:rFonts w:ascii="Liberation Sans" w:hAnsi="Liberation Sans"/>
                <w:b/>
                <w:color w:val="FFFFFF"/>
                <w:sz w:val="16"/>
              </w:rPr>
              <w:t>Core screens</w:t>
            </w:r>
          </w:p>
        </w:tc>
      </w:tr>
      <w:tr>
        <w:tc>
          <w:tcPr>
            <w:tcW w:type="dxa" w:w="2376"/>
            <w:tcMar>
              <w:top w:w="75" w:type="dxa"/>
              <w:start w:w="80" w:type="dxa"/>
              <w:bottom w:w="75" w:type="dxa"/>
              <w:end w:w="80" w:type="dxa"/>
            </w:tcMar>
            <w:vAlign w:val="center"/>
          </w:tcPr>
          <w:p>
            <w:r>
              <w:rPr>
                <w:rFonts w:ascii="Liberation Sans" w:hAnsi="Liberation Sans"/>
                <w:color w:val="34313A"/>
                <w:sz w:val="16"/>
              </w:rPr>
              <w:t>Panchakarma centre</w:t>
            </w:r>
          </w:p>
        </w:tc>
        <w:tc>
          <w:tcPr>
            <w:tcW w:type="dxa" w:w="6984"/>
            <w:tcMar>
              <w:top w:w="75" w:type="dxa"/>
              <w:start w:w="80" w:type="dxa"/>
              <w:bottom w:w="75" w:type="dxa"/>
              <w:end w:w="80" w:type="dxa"/>
            </w:tcMar>
            <w:vAlign w:val="center"/>
          </w:tcPr>
          <w:p>
            <w:r>
              <w:rPr>
                <w:rFonts w:ascii="Liberation Sans" w:hAnsi="Liberation Sans"/>
                <w:color w:val="34313A"/>
                <w:sz w:val="16"/>
              </w:rPr>
              <w:t>Dashboard, referrals, patient check-in, schedule, session charting, incidents, invoices, payouts, quality.</w:t>
            </w:r>
          </w:p>
        </w:tc>
      </w:tr>
      <w:tr>
        <w:tc>
          <w:tcPr>
            <w:tcW w:type="dxa" w:w="2376"/>
            <w:tcMar>
              <w:top w:w="75" w:type="dxa"/>
              <w:start w:w="80" w:type="dxa"/>
              <w:bottom w:w="75" w:type="dxa"/>
              <w:end w:w="80" w:type="dxa"/>
            </w:tcMar>
            <w:vAlign w:val="center"/>
            <w:shd w:fill="FAF8FB"/>
          </w:tcPr>
          <w:p>
            <w:r>
              <w:rPr>
                <w:rFonts w:ascii="Liberation Sans" w:hAnsi="Liberation Sans"/>
                <w:color w:val="34313A"/>
                <w:sz w:val="16"/>
              </w:rPr>
              <w:t>Diagnostic lab</w:t>
            </w:r>
          </w:p>
        </w:tc>
        <w:tc>
          <w:tcPr>
            <w:tcW w:type="dxa" w:w="6984"/>
            <w:tcMar>
              <w:top w:w="75" w:type="dxa"/>
              <w:start w:w="80" w:type="dxa"/>
              <w:bottom w:w="75" w:type="dxa"/>
              <w:end w:w="80" w:type="dxa"/>
            </w:tcMar>
            <w:vAlign w:val="center"/>
            <w:shd w:fill="FAF8FB"/>
          </w:tcPr>
          <w:p>
            <w:r>
              <w:rPr>
                <w:rFonts w:ascii="Liberation Sans" w:hAnsi="Liberation Sans"/>
                <w:color w:val="34313A"/>
                <w:sz w:val="16"/>
              </w:rPr>
              <w:t>Orders, slots, collection, sample status, report upload/API, exceptions, payouts.</w:t>
            </w:r>
          </w:p>
        </w:tc>
      </w:tr>
      <w:tr>
        <w:tc>
          <w:tcPr>
            <w:tcW w:type="dxa" w:w="2376"/>
            <w:tcMar>
              <w:top w:w="75" w:type="dxa"/>
              <w:start w:w="80" w:type="dxa"/>
              <w:bottom w:w="75" w:type="dxa"/>
              <w:end w:w="80" w:type="dxa"/>
            </w:tcMar>
            <w:vAlign w:val="center"/>
          </w:tcPr>
          <w:p>
            <w:r>
              <w:rPr>
                <w:rFonts w:ascii="Liberation Sans" w:hAnsi="Liberation Sans"/>
                <w:color w:val="34313A"/>
                <w:sz w:val="16"/>
              </w:rPr>
              <w:t>Pharmacy</w:t>
            </w:r>
          </w:p>
        </w:tc>
        <w:tc>
          <w:tcPr>
            <w:tcW w:type="dxa" w:w="6984"/>
            <w:tcMar>
              <w:top w:w="75" w:type="dxa"/>
              <w:start w:w="80" w:type="dxa"/>
              <w:bottom w:w="75" w:type="dxa"/>
              <w:end w:w="80" w:type="dxa"/>
            </w:tcMar>
            <w:vAlign w:val="center"/>
          </w:tcPr>
          <w:p>
            <w:r>
              <w:rPr>
                <w:rFonts w:ascii="Liberation Sans" w:hAnsi="Liberation Sans"/>
                <w:color w:val="34313A"/>
                <w:sz w:val="16"/>
              </w:rPr>
              <w:t>Orders, prescription view, stock, pack/dispatch, returns, invoice, payouts, recall handling.</w:t>
            </w:r>
          </w:p>
        </w:tc>
      </w:tr>
      <w:tr>
        <w:tc>
          <w:tcPr>
            <w:tcW w:type="dxa" w:w="2376"/>
            <w:tcMar>
              <w:top w:w="75" w:type="dxa"/>
              <w:start w:w="80" w:type="dxa"/>
              <w:bottom w:w="75" w:type="dxa"/>
              <w:end w:w="80" w:type="dxa"/>
            </w:tcMar>
            <w:vAlign w:val="center"/>
            <w:shd w:fill="FAF8FB"/>
          </w:tcPr>
          <w:p>
            <w:r>
              <w:rPr>
                <w:rFonts w:ascii="Liberation Sans" w:hAnsi="Liberation Sans"/>
                <w:color w:val="34313A"/>
                <w:sz w:val="16"/>
              </w:rPr>
              <w:t>Admin</w:t>
            </w:r>
          </w:p>
        </w:tc>
        <w:tc>
          <w:tcPr>
            <w:tcW w:type="dxa" w:w="6984"/>
            <w:tcMar>
              <w:top w:w="75" w:type="dxa"/>
              <w:start w:w="80" w:type="dxa"/>
              <w:bottom w:w="75" w:type="dxa"/>
              <w:end w:w="80" w:type="dxa"/>
            </w:tcMar>
            <w:vAlign w:val="center"/>
            <w:shd w:fill="FAF8FB"/>
          </w:tcPr>
          <w:p>
            <w:r>
              <w:rPr>
                <w:rFonts w:ascii="Liberation Sans" w:hAnsi="Liberation Sans"/>
                <w:color w:val="34313A"/>
                <w:sz w:val="16"/>
              </w:rPr>
              <w:t>Verification queues, masters/catalogues, transaction console, support cases, safety cases, settlements, audit, analytics.</w:t>
            </w:r>
          </w:p>
        </w:tc>
      </w:tr>
    </w:tbl>
    <w:p>
      <w:pPr>
        <w:spacing w:after="20"/>
      </w:pPr>
    </w:p>
    <w:p>
      <w:pPr>
        <w:spacing w:before="120" w:after="40"/>
      </w:pPr>
      <w:r>
        <w:rPr>
          <w:rFonts w:ascii="Liberation Sans" w:hAnsi="Liberation Sans"/>
          <w:b/>
          <w:color w:val="812A86"/>
          <w:sz w:val="40"/>
        </w:rPr>
        <w:t>12. Care Plan Engine</w:t>
      </w:r>
    </w:p>
    <w:p>
      <w:pPr>
        <w:spacing w:after="180"/>
      </w:pPr>
      <w:r>
        <w:rPr>
          <w:rFonts w:ascii="Liberation Sans" w:hAnsi="Liberation Sans"/>
          <w:color w:val="6B6470"/>
          <w:sz w:val="19"/>
        </w:rPr>
        <w:t>The central product object connecting clinical intent with patient action.</w:t>
      </w:r>
    </w:p>
    <w:p>
      <w:pPr>
        <w:spacing w:after="100" w:before="0" w:line="269" w:lineRule="auto"/>
      </w:pPr>
      <w:r>
        <w:rPr>
          <w:rFonts w:ascii="Liberation Sans" w:hAnsi="Liberation Sans"/>
          <w:b w:val="0"/>
          <w:color w:val="34313A"/>
          <w:sz w:val="21"/>
        </w:rPr>
        <w:t>Every care journey should be represented as a practitioner-owned plan with structured interventions and milestones. The platform orchestrates execution but does not independently alter clinical instructions.</w:t>
      </w:r>
    </w:p>
    <w:tbl>
      <w:tblPr>
        <w:tblStyle w:val="TableGrid"/>
        <w:tblW w:type="auto" w:w="0"/>
        <w:jc w:val="center"/>
        <w:tblLook w:firstColumn="1" w:firstRow="1" w:lastColumn="0" w:lastRow="0" w:noHBand="0" w:noVBand="1" w:val="04A0"/>
      </w:tblPr>
      <w:tblGrid>
        <w:gridCol w:w="5040"/>
        <w:gridCol w:w="5040"/>
      </w:tblGrid>
      <w:tr>
        <w:tc>
          <w:tcPr>
            <w:tcW w:type="dxa" w:w="2880"/>
            <w:shd w:fill="812A86"/>
            <w:tcMar>
              <w:top w:w="90" w:type="dxa"/>
              <w:start w:w="90" w:type="dxa"/>
              <w:bottom w:w="90" w:type="dxa"/>
              <w:end w:w="90" w:type="dxa"/>
            </w:tcMar>
            <w:vAlign w:val="center"/>
          </w:tcPr>
          <w:p>
            <w:pPr>
              <w:jc w:val="center"/>
            </w:pPr>
            <w:r>
              <w:rPr>
                <w:rFonts w:ascii="Liberation Sans" w:hAnsi="Liberation Sans"/>
                <w:b/>
                <w:color w:val="FFFFFF"/>
                <w:sz w:val="17"/>
              </w:rPr>
              <w:t>Care Plan element</w:t>
            </w:r>
          </w:p>
        </w:tc>
        <w:tc>
          <w:tcPr>
            <w:tcW w:type="dxa" w:w="6480"/>
            <w:shd w:fill="812A86"/>
            <w:tcMar>
              <w:top w:w="90" w:type="dxa"/>
              <w:start w:w="90" w:type="dxa"/>
              <w:bottom w:w="90" w:type="dxa"/>
              <w:end w:w="90" w:type="dxa"/>
            </w:tcMar>
            <w:vAlign w:val="center"/>
          </w:tcPr>
          <w:p>
            <w:pPr>
              <w:jc w:val="center"/>
            </w:pPr>
            <w:r>
              <w:rPr>
                <w:rFonts w:ascii="Liberation Sans" w:hAnsi="Liberation Sans"/>
                <w:b/>
                <w:color w:val="FFFFFF"/>
                <w:sz w:val="17"/>
              </w:rPr>
              <w:t>Examples</w:t>
            </w:r>
          </w:p>
        </w:tc>
      </w:tr>
      <w:tr>
        <w:tc>
          <w:tcPr>
            <w:tcW w:type="dxa" w:w="2880"/>
            <w:tcMar>
              <w:top w:w="75" w:type="dxa"/>
              <w:start w:w="80" w:type="dxa"/>
              <w:bottom w:w="75" w:type="dxa"/>
              <w:end w:w="80" w:type="dxa"/>
            </w:tcMar>
            <w:vAlign w:val="center"/>
          </w:tcPr>
          <w:p>
            <w:r>
              <w:rPr>
                <w:rFonts w:ascii="Liberation Sans" w:hAnsi="Liberation Sans"/>
                <w:color w:val="34313A"/>
                <w:sz w:val="17"/>
              </w:rPr>
              <w:t>Clinical owner</w:t>
            </w:r>
          </w:p>
        </w:tc>
        <w:tc>
          <w:tcPr>
            <w:tcW w:type="dxa" w:w="6480"/>
            <w:tcMar>
              <w:top w:w="75" w:type="dxa"/>
              <w:start w:w="80" w:type="dxa"/>
              <w:bottom w:w="75" w:type="dxa"/>
              <w:end w:w="80" w:type="dxa"/>
            </w:tcMar>
            <w:vAlign w:val="center"/>
          </w:tcPr>
          <w:p>
            <w:r>
              <w:rPr>
                <w:rFonts w:ascii="Liberation Sans" w:hAnsi="Liberation Sans"/>
                <w:color w:val="34313A"/>
                <w:sz w:val="17"/>
              </w:rPr>
              <w:t>Treating Vaidya / authorised practitioner.</w:t>
            </w:r>
          </w:p>
        </w:tc>
      </w:tr>
      <w:tr>
        <w:tc>
          <w:tcPr>
            <w:tcW w:type="dxa" w:w="2880"/>
            <w:tcMar>
              <w:top w:w="75" w:type="dxa"/>
              <w:start w:w="80" w:type="dxa"/>
              <w:bottom w:w="75" w:type="dxa"/>
              <w:end w:w="80" w:type="dxa"/>
            </w:tcMar>
            <w:vAlign w:val="center"/>
            <w:shd w:fill="FAF8FB"/>
          </w:tcPr>
          <w:p>
            <w:r>
              <w:rPr>
                <w:rFonts w:ascii="Liberation Sans" w:hAnsi="Liberation Sans"/>
                <w:color w:val="34313A"/>
                <w:sz w:val="17"/>
              </w:rPr>
              <w:t>Goals</w:t>
            </w:r>
          </w:p>
        </w:tc>
        <w:tc>
          <w:tcPr>
            <w:tcW w:type="dxa" w:w="6480"/>
            <w:tcMar>
              <w:top w:w="75" w:type="dxa"/>
              <w:start w:w="80" w:type="dxa"/>
              <w:bottom w:w="75" w:type="dxa"/>
              <w:end w:w="80" w:type="dxa"/>
            </w:tcMar>
            <w:vAlign w:val="center"/>
            <w:shd w:fill="FAF8FB"/>
          </w:tcPr>
          <w:p>
            <w:r>
              <w:rPr>
                <w:rFonts w:ascii="Liberation Sans" w:hAnsi="Liberation Sans"/>
                <w:color w:val="34313A"/>
                <w:sz w:val="17"/>
              </w:rPr>
              <w:t>Symptom improvement, adherence, follow-up objective, lifestyle goal.</w:t>
            </w:r>
          </w:p>
        </w:tc>
      </w:tr>
      <w:tr>
        <w:tc>
          <w:tcPr>
            <w:tcW w:type="dxa" w:w="2880"/>
            <w:tcMar>
              <w:top w:w="75" w:type="dxa"/>
              <w:start w:w="80" w:type="dxa"/>
              <w:bottom w:w="75" w:type="dxa"/>
              <w:end w:w="80" w:type="dxa"/>
            </w:tcMar>
            <w:vAlign w:val="center"/>
          </w:tcPr>
          <w:p>
            <w:r>
              <w:rPr>
                <w:rFonts w:ascii="Liberation Sans" w:hAnsi="Liberation Sans"/>
                <w:color w:val="34313A"/>
                <w:sz w:val="17"/>
              </w:rPr>
              <w:t>Medicines</w:t>
            </w:r>
          </w:p>
        </w:tc>
        <w:tc>
          <w:tcPr>
            <w:tcW w:type="dxa" w:w="6480"/>
            <w:tcMar>
              <w:top w:w="75" w:type="dxa"/>
              <w:start w:w="80" w:type="dxa"/>
              <w:bottom w:w="75" w:type="dxa"/>
              <w:end w:w="80" w:type="dxa"/>
            </w:tcMar>
            <w:vAlign w:val="center"/>
          </w:tcPr>
          <w:p>
            <w:r>
              <w:rPr>
                <w:rFonts w:ascii="Liberation Sans" w:hAnsi="Liberation Sans"/>
                <w:color w:val="34313A"/>
                <w:sz w:val="17"/>
              </w:rPr>
              <w:t>Product/formulation, dose, timing, duration, special instruction.</w:t>
            </w:r>
          </w:p>
        </w:tc>
      </w:tr>
      <w:tr>
        <w:tc>
          <w:tcPr>
            <w:tcW w:type="dxa" w:w="2880"/>
            <w:tcMar>
              <w:top w:w="75" w:type="dxa"/>
              <w:start w:w="80" w:type="dxa"/>
              <w:bottom w:w="75" w:type="dxa"/>
              <w:end w:w="80" w:type="dxa"/>
            </w:tcMar>
            <w:vAlign w:val="center"/>
            <w:shd w:fill="FAF8FB"/>
          </w:tcPr>
          <w:p>
            <w:r>
              <w:rPr>
                <w:rFonts w:ascii="Liberation Sans" w:hAnsi="Liberation Sans"/>
                <w:color w:val="34313A"/>
                <w:sz w:val="17"/>
              </w:rPr>
              <w:t>Diagnostics</w:t>
            </w:r>
          </w:p>
        </w:tc>
        <w:tc>
          <w:tcPr>
            <w:tcW w:type="dxa" w:w="6480"/>
            <w:tcMar>
              <w:top w:w="75" w:type="dxa"/>
              <w:start w:w="80" w:type="dxa"/>
              <w:bottom w:w="75" w:type="dxa"/>
              <w:end w:w="80" w:type="dxa"/>
            </w:tcMar>
            <w:vAlign w:val="center"/>
            <w:shd w:fill="FAF8FB"/>
          </w:tcPr>
          <w:p>
            <w:r>
              <w:rPr>
                <w:rFonts w:ascii="Liberation Sans" w:hAnsi="Liberation Sans"/>
                <w:color w:val="34313A"/>
                <w:sz w:val="17"/>
              </w:rPr>
              <w:t>Test, clinical reason/notes, target completion date, result status.</w:t>
            </w:r>
          </w:p>
        </w:tc>
      </w:tr>
      <w:tr>
        <w:tc>
          <w:tcPr>
            <w:tcW w:type="dxa" w:w="2880"/>
            <w:tcMar>
              <w:top w:w="75" w:type="dxa"/>
              <w:start w:w="80" w:type="dxa"/>
              <w:bottom w:w="75" w:type="dxa"/>
              <w:end w:w="80" w:type="dxa"/>
            </w:tcMar>
            <w:vAlign w:val="center"/>
          </w:tcPr>
          <w:p>
            <w:r>
              <w:rPr>
                <w:rFonts w:ascii="Liberation Sans" w:hAnsi="Liberation Sans"/>
                <w:color w:val="34313A"/>
                <w:sz w:val="17"/>
              </w:rPr>
              <w:t>Therapies</w:t>
            </w:r>
          </w:p>
        </w:tc>
        <w:tc>
          <w:tcPr>
            <w:tcW w:type="dxa" w:w="6480"/>
            <w:tcMar>
              <w:top w:w="75" w:type="dxa"/>
              <w:start w:w="80" w:type="dxa"/>
              <w:bottom w:w="75" w:type="dxa"/>
              <w:end w:w="80" w:type="dxa"/>
            </w:tcMar>
            <w:vAlign w:val="center"/>
          </w:tcPr>
          <w:p>
            <w:r>
              <w:rPr>
                <w:rFonts w:ascii="Liberation Sans" w:hAnsi="Liberation Sans"/>
                <w:color w:val="34313A"/>
                <w:sz w:val="17"/>
              </w:rPr>
              <w:t>Procedure/referral, sessions, centre requirements, preparation, completion.</w:t>
            </w:r>
          </w:p>
        </w:tc>
      </w:tr>
      <w:tr>
        <w:tc>
          <w:tcPr>
            <w:tcW w:type="dxa" w:w="2880"/>
            <w:tcMar>
              <w:top w:w="75" w:type="dxa"/>
              <w:start w:w="80" w:type="dxa"/>
              <w:bottom w:w="75" w:type="dxa"/>
              <w:end w:w="80" w:type="dxa"/>
            </w:tcMar>
            <w:vAlign w:val="center"/>
            <w:shd w:fill="FAF8FB"/>
          </w:tcPr>
          <w:p>
            <w:r>
              <w:rPr>
                <w:rFonts w:ascii="Liberation Sans" w:hAnsi="Liberation Sans"/>
                <w:color w:val="34313A"/>
                <w:sz w:val="17"/>
              </w:rPr>
              <w:t>Diet &amp; lifestyle</w:t>
            </w:r>
          </w:p>
        </w:tc>
        <w:tc>
          <w:tcPr>
            <w:tcW w:type="dxa" w:w="6480"/>
            <w:tcMar>
              <w:top w:w="75" w:type="dxa"/>
              <w:start w:w="80" w:type="dxa"/>
              <w:bottom w:w="75" w:type="dxa"/>
              <w:end w:w="80" w:type="dxa"/>
            </w:tcMar>
            <w:vAlign w:val="center"/>
            <w:shd w:fill="FAF8FB"/>
          </w:tcPr>
          <w:p>
            <w:r>
              <w:rPr>
                <w:rFonts w:ascii="Liberation Sans" w:hAnsi="Liberation Sans"/>
                <w:color w:val="34313A"/>
                <w:sz w:val="17"/>
              </w:rPr>
              <w:t>Practitioner-approved instructions, education content, avoid/encourage list.</w:t>
            </w:r>
          </w:p>
        </w:tc>
      </w:tr>
      <w:tr>
        <w:tc>
          <w:tcPr>
            <w:tcW w:type="dxa" w:w="2880"/>
            <w:tcMar>
              <w:top w:w="75" w:type="dxa"/>
              <w:start w:w="80" w:type="dxa"/>
              <w:bottom w:w="75" w:type="dxa"/>
              <w:end w:w="80" w:type="dxa"/>
            </w:tcMar>
            <w:vAlign w:val="center"/>
          </w:tcPr>
          <w:p>
            <w:r>
              <w:rPr>
                <w:rFonts w:ascii="Liberation Sans" w:hAnsi="Liberation Sans"/>
                <w:color w:val="34313A"/>
                <w:sz w:val="17"/>
              </w:rPr>
              <w:t>Tasks</w:t>
            </w:r>
          </w:p>
        </w:tc>
        <w:tc>
          <w:tcPr>
            <w:tcW w:type="dxa" w:w="6480"/>
            <w:tcMar>
              <w:top w:w="75" w:type="dxa"/>
              <w:start w:w="80" w:type="dxa"/>
              <w:bottom w:w="75" w:type="dxa"/>
              <w:end w:w="80" w:type="dxa"/>
            </w:tcMar>
            <w:vAlign w:val="center"/>
          </w:tcPr>
          <w:p>
            <w:r>
              <w:rPr>
                <w:rFonts w:ascii="Liberation Sans" w:hAnsi="Liberation Sans"/>
                <w:color w:val="34313A"/>
                <w:sz w:val="17"/>
              </w:rPr>
              <w:t>Upload report, take medicine, prepare for therapy, questionnaire, follow-up.</w:t>
            </w:r>
          </w:p>
        </w:tc>
      </w:tr>
      <w:tr>
        <w:tc>
          <w:tcPr>
            <w:tcW w:type="dxa" w:w="2880"/>
            <w:tcMar>
              <w:top w:w="75" w:type="dxa"/>
              <w:start w:w="80" w:type="dxa"/>
              <w:bottom w:w="75" w:type="dxa"/>
              <w:end w:w="80" w:type="dxa"/>
            </w:tcMar>
            <w:vAlign w:val="center"/>
            <w:shd w:fill="FAF8FB"/>
          </w:tcPr>
          <w:p>
            <w:r>
              <w:rPr>
                <w:rFonts w:ascii="Liberation Sans" w:hAnsi="Liberation Sans"/>
                <w:color w:val="34313A"/>
                <w:sz w:val="17"/>
              </w:rPr>
              <w:t>Milestones</w:t>
            </w:r>
          </w:p>
        </w:tc>
        <w:tc>
          <w:tcPr>
            <w:tcW w:type="dxa" w:w="6480"/>
            <w:tcMar>
              <w:top w:w="75" w:type="dxa"/>
              <w:start w:w="80" w:type="dxa"/>
              <w:bottom w:w="75" w:type="dxa"/>
              <w:end w:w="80" w:type="dxa"/>
            </w:tcMar>
            <w:vAlign w:val="center"/>
            <w:shd w:fill="FAF8FB"/>
          </w:tcPr>
          <w:p>
            <w:r>
              <w:rPr>
                <w:rFonts w:ascii="Liberation Sans" w:hAnsi="Liberation Sans"/>
                <w:color w:val="34313A"/>
                <w:sz w:val="17"/>
              </w:rPr>
              <w:t>Week 2 review, therapy completion, repeat report, final review.</w:t>
            </w:r>
          </w:p>
        </w:tc>
      </w:tr>
      <w:tr>
        <w:tc>
          <w:tcPr>
            <w:tcW w:type="dxa" w:w="2880"/>
            <w:tcMar>
              <w:top w:w="75" w:type="dxa"/>
              <w:start w:w="80" w:type="dxa"/>
              <w:bottom w:w="75" w:type="dxa"/>
              <w:end w:w="80" w:type="dxa"/>
            </w:tcMar>
            <w:vAlign w:val="center"/>
          </w:tcPr>
          <w:p>
            <w:r>
              <w:rPr>
                <w:rFonts w:ascii="Liberation Sans" w:hAnsi="Liberation Sans"/>
                <w:color w:val="34313A"/>
                <w:sz w:val="17"/>
              </w:rPr>
              <w:t>Outcomes</w:t>
            </w:r>
          </w:p>
        </w:tc>
        <w:tc>
          <w:tcPr>
            <w:tcW w:type="dxa" w:w="6480"/>
            <w:tcMar>
              <w:top w:w="75" w:type="dxa"/>
              <w:start w:w="80" w:type="dxa"/>
              <w:bottom w:w="75" w:type="dxa"/>
              <w:end w:w="80" w:type="dxa"/>
            </w:tcMar>
            <w:vAlign w:val="center"/>
          </w:tcPr>
          <w:p>
            <w:r>
              <w:rPr>
                <w:rFonts w:ascii="Liberation Sans" w:hAnsi="Liberation Sans"/>
                <w:color w:val="34313A"/>
                <w:sz w:val="17"/>
              </w:rPr>
              <w:t>Patient-reported measures, practitioner assessment, adherence, adverse events.</w:t>
            </w:r>
          </w:p>
        </w:tc>
      </w:tr>
      <w:tr>
        <w:tc>
          <w:tcPr>
            <w:tcW w:type="dxa" w:w="2880"/>
            <w:tcMar>
              <w:top w:w="75" w:type="dxa"/>
              <w:start w:w="80" w:type="dxa"/>
              <w:bottom w:w="75" w:type="dxa"/>
              <w:end w:w="80" w:type="dxa"/>
            </w:tcMar>
            <w:vAlign w:val="center"/>
            <w:shd w:fill="FAF8FB"/>
          </w:tcPr>
          <w:p>
            <w:r>
              <w:rPr>
                <w:rFonts w:ascii="Liberation Sans" w:hAnsi="Liberation Sans"/>
                <w:color w:val="34313A"/>
                <w:sz w:val="17"/>
              </w:rPr>
              <w:t>Status</w:t>
            </w:r>
          </w:p>
        </w:tc>
        <w:tc>
          <w:tcPr>
            <w:tcW w:type="dxa" w:w="6480"/>
            <w:tcMar>
              <w:top w:w="75" w:type="dxa"/>
              <w:start w:w="80" w:type="dxa"/>
              <w:bottom w:w="75" w:type="dxa"/>
              <w:end w:w="80" w:type="dxa"/>
            </w:tcMar>
            <w:vAlign w:val="center"/>
            <w:shd w:fill="FAF8FB"/>
          </w:tcPr>
          <w:p>
            <w:r>
              <w:rPr>
                <w:rFonts w:ascii="Liberation Sans" w:hAnsi="Liberation Sans"/>
                <w:color w:val="34313A"/>
                <w:sz w:val="17"/>
              </w:rPr>
              <w:t>Draft, active, paused, completed, cancelled, superseded.</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10080"/>
            <w:shd w:fill="FFF4E8"/>
            <w:tcMar>
              <w:top w:w="150" w:type="dxa"/>
              <w:start w:w="180" w:type="dxa"/>
              <w:bottom w:w="150" w:type="dxa"/>
              <w:end w:w="180" w:type="dxa"/>
            </w:tcMar>
          </w:tcPr>
          <w:p>
            <w:r>
              <w:rPr>
                <w:rFonts w:ascii="Liberation Sans" w:hAnsi="Liberation Sans"/>
                <w:b/>
                <w:color w:val="F28A17"/>
                <w:sz w:val="20"/>
              </w:rPr>
              <w:t>Critical product rule</w:t>
              <w:br/>
            </w:r>
            <w:r>
              <w:rPr>
                <w:rFonts w:ascii="Liberation Sans" w:hAnsi="Liberation Sans"/>
                <w:color w:val="34313A"/>
                <w:sz w:val="19"/>
              </w:rPr>
              <w:t>Commercial partners may fulfil a Care Plan, but only an authorised clinician should create or clinically change the treatment instructions.</w:t>
            </w:r>
          </w:p>
        </w:tc>
      </w:tr>
    </w:tbl>
    <w:p>
      <w:pPr>
        <w:spacing w:after="20"/>
      </w:pPr>
    </w:p>
    <w:p>
      <w:r>
        <w:br w:type="page"/>
      </w:r>
    </w:p>
    <w:p>
      <w:pPr>
        <w:spacing w:before="120" w:after="40"/>
      </w:pPr>
      <w:r>
        <w:rPr>
          <w:rFonts w:ascii="Liberation Sans" w:hAnsi="Liberation Sans"/>
          <w:b/>
          <w:color w:val="812A86"/>
          <w:sz w:val="40"/>
        </w:rPr>
        <w:t>13. Core Workflows</w:t>
      </w:r>
    </w:p>
    <w:p>
      <w:pPr>
        <w:spacing w:before="160" w:after="80"/>
      </w:pPr>
      <w:r>
        <w:rPr>
          <w:rFonts w:ascii="Liberation Sans" w:hAnsi="Liberation Sans"/>
          <w:b/>
          <w:color w:val="2D94C6"/>
          <w:sz w:val="26"/>
        </w:rPr>
        <w:t>Consultation workflow</w:t>
      </w:r>
    </w:p>
    <w:p>
      <w:pPr>
        <w:spacing w:after="60"/>
        <w:ind w:left="43" w:hanging="43"/>
      </w:pPr>
      <w:r>
        <w:rPr>
          <w:rFonts w:ascii="Liberation Sans" w:hAnsi="Liberation Sans"/>
          <w:color w:val="34313A"/>
          <w:sz w:val="19"/>
        </w:rPr>
        <w:t>1.  Patient books and provides reason/records.</w:t>
      </w:r>
    </w:p>
    <w:p>
      <w:pPr>
        <w:spacing w:after="60"/>
        <w:ind w:left="43" w:hanging="43"/>
      </w:pPr>
      <w:r>
        <w:rPr>
          <w:rFonts w:ascii="Liberation Sans" w:hAnsi="Liberation Sans"/>
          <w:color w:val="34313A"/>
          <w:sz w:val="19"/>
        </w:rPr>
        <w:t>2.  System verifies appointment, payment and consent state.</w:t>
      </w:r>
    </w:p>
    <w:p>
      <w:pPr>
        <w:spacing w:after="60"/>
        <w:ind w:left="43" w:hanging="43"/>
      </w:pPr>
      <w:r>
        <w:rPr>
          <w:rFonts w:ascii="Liberation Sans" w:hAnsi="Liberation Sans"/>
          <w:color w:val="34313A"/>
          <w:sz w:val="19"/>
        </w:rPr>
        <w:t>3.  Practitioner reviews available information.</w:t>
      </w:r>
    </w:p>
    <w:p>
      <w:pPr>
        <w:spacing w:after="60"/>
        <w:ind w:left="43" w:hanging="43"/>
      </w:pPr>
      <w:r>
        <w:rPr>
          <w:rFonts w:ascii="Liberation Sans" w:hAnsi="Liberation Sans"/>
          <w:color w:val="34313A"/>
          <w:sz w:val="19"/>
        </w:rPr>
        <w:t>4.  Consultation occurs online or in person.</w:t>
      </w:r>
    </w:p>
    <w:p>
      <w:pPr>
        <w:spacing w:after="60"/>
        <w:ind w:left="43" w:hanging="43"/>
      </w:pPr>
      <w:r>
        <w:rPr>
          <w:rFonts w:ascii="Liberation Sans" w:hAnsi="Liberation Sans"/>
          <w:color w:val="34313A"/>
          <w:sz w:val="19"/>
        </w:rPr>
        <w:t>5.  Practitioner documents assessment and issues plan/prescription/referrals.</w:t>
      </w:r>
    </w:p>
    <w:p>
      <w:pPr>
        <w:spacing w:after="60"/>
        <w:ind w:left="43" w:hanging="43"/>
      </w:pPr>
      <w:r>
        <w:rPr>
          <w:rFonts w:ascii="Liberation Sans" w:hAnsi="Liberation Sans"/>
          <w:color w:val="34313A"/>
          <w:sz w:val="19"/>
        </w:rPr>
        <w:t>6.  Patient receives a plain-language summary and next actions.</w:t>
      </w:r>
    </w:p>
    <w:p>
      <w:pPr>
        <w:spacing w:after="60"/>
        <w:ind w:left="43" w:hanging="43"/>
      </w:pPr>
      <w:r>
        <w:rPr>
          <w:rFonts w:ascii="Liberation Sans" w:hAnsi="Liberation Sans"/>
          <w:color w:val="34313A"/>
          <w:sz w:val="19"/>
        </w:rPr>
        <w:t>7.  Care Plan tasks and fulfilment options become available.</w:t>
      </w:r>
    </w:p>
    <w:p>
      <w:pPr>
        <w:spacing w:after="60"/>
        <w:ind w:left="43" w:hanging="43"/>
      </w:pPr>
      <w:r>
        <w:rPr>
          <w:rFonts w:ascii="Liberation Sans" w:hAnsi="Liberation Sans"/>
          <w:color w:val="34313A"/>
          <w:sz w:val="19"/>
        </w:rPr>
        <w:t>8.  Follow-up is scheduled or triggered by milestone.</w:t>
      </w:r>
    </w:p>
    <w:p>
      <w:pPr>
        <w:spacing w:before="160" w:after="80"/>
      </w:pPr>
      <w:r>
        <w:rPr>
          <w:rFonts w:ascii="Liberation Sans" w:hAnsi="Liberation Sans"/>
          <w:b/>
          <w:color w:val="2D94C6"/>
          <w:sz w:val="26"/>
        </w:rPr>
        <w:t>Diagnostics workflow</w:t>
      </w:r>
    </w:p>
    <w:p>
      <w:pPr>
        <w:spacing w:after="60"/>
        <w:ind w:left="43" w:hanging="43"/>
      </w:pPr>
      <w:r>
        <w:rPr>
          <w:rFonts w:ascii="Liberation Sans" w:hAnsi="Liberation Sans"/>
          <w:color w:val="34313A"/>
          <w:sz w:val="19"/>
        </w:rPr>
        <w:t>1.  Practitioner creates test order.</w:t>
      </w:r>
    </w:p>
    <w:p>
      <w:pPr>
        <w:spacing w:after="60"/>
        <w:ind w:left="43" w:hanging="43"/>
      </w:pPr>
      <w:r>
        <w:rPr>
          <w:rFonts w:ascii="Liberation Sans" w:hAnsi="Liberation Sans"/>
          <w:color w:val="34313A"/>
          <w:sz w:val="19"/>
        </w:rPr>
        <w:t>2.  Patient chooses an eligible lab and slot.</w:t>
      </w:r>
    </w:p>
    <w:p>
      <w:pPr>
        <w:spacing w:after="60"/>
        <w:ind w:left="43" w:hanging="43"/>
      </w:pPr>
      <w:r>
        <w:rPr>
          <w:rFonts w:ascii="Liberation Sans" w:hAnsi="Liberation Sans"/>
          <w:color w:val="34313A"/>
          <w:sz w:val="19"/>
        </w:rPr>
        <w:t>3.  Lab fulfils collection and updates sample status.</w:t>
      </w:r>
    </w:p>
    <w:p>
      <w:pPr>
        <w:spacing w:after="60"/>
        <w:ind w:left="43" w:hanging="43"/>
      </w:pPr>
      <w:r>
        <w:rPr>
          <w:rFonts w:ascii="Liberation Sans" w:hAnsi="Liberation Sans"/>
          <w:color w:val="34313A"/>
          <w:sz w:val="19"/>
        </w:rPr>
        <w:t>4.  Report is returned and attached to the patient record.</w:t>
      </w:r>
    </w:p>
    <w:p>
      <w:pPr>
        <w:spacing w:after="60"/>
        <w:ind w:left="43" w:hanging="43"/>
      </w:pPr>
      <w:r>
        <w:rPr>
          <w:rFonts w:ascii="Liberation Sans" w:hAnsi="Liberation Sans"/>
          <w:color w:val="34313A"/>
          <w:sz w:val="19"/>
        </w:rPr>
        <w:t>5.  Ordering practitioner is notified; patient sees report according to release policy.</w:t>
      </w:r>
    </w:p>
    <w:p>
      <w:pPr>
        <w:spacing w:after="60"/>
        <w:ind w:left="43" w:hanging="43"/>
      </w:pPr>
      <w:r>
        <w:rPr>
          <w:rFonts w:ascii="Liberation Sans" w:hAnsi="Liberation Sans"/>
          <w:color w:val="34313A"/>
          <w:sz w:val="19"/>
        </w:rPr>
        <w:t>6.  Practitioner reviews result and updates plan if clinically appropriate.</w:t>
      </w:r>
    </w:p>
    <w:p>
      <w:pPr>
        <w:spacing w:before="160" w:after="80"/>
      </w:pPr>
      <w:r>
        <w:rPr>
          <w:rFonts w:ascii="Liberation Sans" w:hAnsi="Liberation Sans"/>
          <w:b/>
          <w:color w:val="2D94C6"/>
          <w:sz w:val="26"/>
        </w:rPr>
        <w:t>Panchakarma workflow</w:t>
      </w:r>
    </w:p>
    <w:p>
      <w:pPr>
        <w:spacing w:after="60"/>
        <w:ind w:left="43" w:hanging="43"/>
      </w:pPr>
      <w:r>
        <w:rPr>
          <w:rFonts w:ascii="Liberation Sans" w:hAnsi="Liberation Sans"/>
          <w:color w:val="34313A"/>
          <w:sz w:val="19"/>
        </w:rPr>
        <w:t>1.  Practitioner creates therapy referral with parameters and prerequisites.</w:t>
      </w:r>
    </w:p>
    <w:p>
      <w:pPr>
        <w:spacing w:after="60"/>
        <w:ind w:left="43" w:hanging="43"/>
      </w:pPr>
      <w:r>
        <w:rPr>
          <w:rFonts w:ascii="Liberation Sans" w:hAnsi="Liberation Sans"/>
          <w:color w:val="34313A"/>
          <w:sz w:val="19"/>
        </w:rPr>
        <w:t>2.  Patient views eligible verified centres and availability.</w:t>
      </w:r>
    </w:p>
    <w:p>
      <w:pPr>
        <w:spacing w:after="60"/>
        <w:ind w:left="43" w:hanging="43"/>
      </w:pPr>
      <w:r>
        <w:rPr>
          <w:rFonts w:ascii="Liberation Sans" w:hAnsi="Liberation Sans"/>
          <w:color w:val="34313A"/>
          <w:sz w:val="19"/>
        </w:rPr>
        <w:t>3.  Centre confirms booking and pre-session requirements.</w:t>
      </w:r>
    </w:p>
    <w:p>
      <w:pPr>
        <w:spacing w:after="60"/>
        <w:ind w:left="43" w:hanging="43"/>
      </w:pPr>
      <w:r>
        <w:rPr>
          <w:rFonts w:ascii="Liberation Sans" w:hAnsi="Liberation Sans"/>
          <w:color w:val="34313A"/>
          <w:sz w:val="19"/>
        </w:rPr>
        <w:t>4.  Each session is documented and completion status is visible to the referring practitioner.</w:t>
      </w:r>
    </w:p>
    <w:p>
      <w:pPr>
        <w:spacing w:after="60"/>
        <w:ind w:left="43" w:hanging="43"/>
      </w:pPr>
      <w:r>
        <w:rPr>
          <w:rFonts w:ascii="Liberation Sans" w:hAnsi="Liberation Sans"/>
          <w:color w:val="34313A"/>
          <w:sz w:val="19"/>
        </w:rPr>
        <w:t>5.  Exceptions trigger defined escalation.</w:t>
      </w:r>
    </w:p>
    <w:p>
      <w:pPr>
        <w:spacing w:after="60"/>
        <w:ind w:left="43" w:hanging="43"/>
      </w:pPr>
      <w:r>
        <w:rPr>
          <w:rFonts w:ascii="Liberation Sans" w:hAnsi="Liberation Sans"/>
          <w:color w:val="34313A"/>
          <w:sz w:val="19"/>
        </w:rPr>
        <w:t>6.  Course completion is reviewed during follow-up.</w:t>
      </w:r>
    </w:p>
    <w:p>
      <w:pPr>
        <w:spacing w:before="160" w:after="80"/>
      </w:pPr>
      <w:r>
        <w:rPr>
          <w:rFonts w:ascii="Liberation Sans" w:hAnsi="Liberation Sans"/>
          <w:b/>
          <w:color w:val="2D94C6"/>
          <w:sz w:val="26"/>
        </w:rPr>
        <w:t>Medicine fulfilment workflow</w:t>
      </w:r>
    </w:p>
    <w:p>
      <w:pPr>
        <w:spacing w:after="60"/>
        <w:ind w:left="43" w:hanging="43"/>
      </w:pPr>
      <w:r>
        <w:rPr>
          <w:rFonts w:ascii="Liberation Sans" w:hAnsi="Liberation Sans"/>
          <w:color w:val="34313A"/>
          <w:sz w:val="19"/>
        </w:rPr>
        <w:t>1.  Prescription/order generated.</w:t>
      </w:r>
    </w:p>
    <w:p>
      <w:pPr>
        <w:spacing w:after="60"/>
        <w:ind w:left="43" w:hanging="43"/>
      </w:pPr>
      <w:r>
        <w:rPr>
          <w:rFonts w:ascii="Liberation Sans" w:hAnsi="Liberation Sans"/>
          <w:color w:val="34313A"/>
          <w:sz w:val="19"/>
        </w:rPr>
        <w:t>2.  Eligible fulfilment partner receives order.</w:t>
      </w:r>
    </w:p>
    <w:p>
      <w:pPr>
        <w:spacing w:after="60"/>
        <w:ind w:left="43" w:hanging="43"/>
      </w:pPr>
      <w:r>
        <w:rPr>
          <w:rFonts w:ascii="Liberation Sans" w:hAnsi="Liberation Sans"/>
          <w:color w:val="34313A"/>
          <w:sz w:val="19"/>
        </w:rPr>
        <w:t>3.  Stock and order validity are checked.</w:t>
      </w:r>
    </w:p>
    <w:p>
      <w:pPr>
        <w:spacing w:after="60"/>
        <w:ind w:left="43" w:hanging="43"/>
      </w:pPr>
      <w:r>
        <w:rPr>
          <w:rFonts w:ascii="Liberation Sans" w:hAnsi="Liberation Sans"/>
          <w:color w:val="34313A"/>
          <w:sz w:val="19"/>
        </w:rPr>
        <w:t>4.  Items are packed, invoiced and dispatched.</w:t>
      </w:r>
    </w:p>
    <w:p>
      <w:pPr>
        <w:spacing w:after="60"/>
        <w:ind w:left="43" w:hanging="43"/>
      </w:pPr>
      <w:r>
        <w:rPr>
          <w:rFonts w:ascii="Liberation Sans" w:hAnsi="Liberation Sans"/>
          <w:color w:val="34313A"/>
          <w:sz w:val="19"/>
        </w:rPr>
        <w:t>5.  Patient tracks delivery and receives administration instructions from the care plan.</w:t>
      </w:r>
    </w:p>
    <w:p>
      <w:pPr>
        <w:spacing w:after="60"/>
        <w:ind w:left="43" w:hanging="43"/>
      </w:pPr>
      <w:r>
        <w:rPr>
          <w:rFonts w:ascii="Liberation Sans" w:hAnsi="Liberation Sans"/>
          <w:color w:val="34313A"/>
          <w:sz w:val="19"/>
        </w:rPr>
        <w:t>6.  Refill reminder is generated only according to plan duration/clinician instruction.</w:t>
      </w:r>
    </w:p>
    <w:p>
      <w:pPr>
        <w:spacing w:before="120" w:after="40"/>
      </w:pPr>
      <w:r>
        <w:rPr>
          <w:rFonts w:ascii="Liberation Sans" w:hAnsi="Liberation Sans"/>
          <w:b/>
          <w:color w:val="812A86"/>
          <w:sz w:val="40"/>
        </w:rPr>
        <w:t>14. Trust, Quality &amp; Credential Verification</w:t>
      </w:r>
    </w:p>
    <w:p>
      <w:pPr>
        <w:spacing w:before="160" w:after="80"/>
      </w:pPr>
      <w:r>
        <w:rPr>
          <w:rFonts w:ascii="Liberation Sans" w:hAnsi="Liberation Sans"/>
          <w:b/>
          <w:color w:val="2D94C6"/>
          <w:sz w:val="26"/>
        </w:rPr>
        <w:t>Practitioner verification</w:t>
      </w:r>
    </w:p>
    <w:p>
      <w:pPr>
        <w:pStyle w:val="ListBullet"/>
        <w:spacing w:after="40" w:line="259" w:lineRule="auto"/>
      </w:pPr>
      <w:r>
        <w:rPr>
          <w:rFonts w:ascii="Liberation Sans" w:hAnsi="Liberation Sans"/>
          <w:color w:val="34313A"/>
          <w:sz w:val="19"/>
        </w:rPr>
        <w:t>Verify identity and contact details.</w:t>
      </w:r>
    </w:p>
    <w:p>
      <w:pPr>
        <w:pStyle w:val="ListBullet"/>
        <w:spacing w:after="40" w:line="259" w:lineRule="auto"/>
      </w:pPr>
      <w:r>
        <w:rPr>
          <w:rFonts w:ascii="Liberation Sans" w:hAnsi="Liberation Sans"/>
          <w:color w:val="34313A"/>
          <w:sz w:val="19"/>
        </w:rPr>
        <w:t>Capture educational qualification and issuing institution.</w:t>
      </w:r>
    </w:p>
    <w:p>
      <w:pPr>
        <w:pStyle w:val="ListBullet"/>
        <w:spacing w:after="40" w:line="259" w:lineRule="auto"/>
      </w:pPr>
      <w:r>
        <w:rPr>
          <w:rFonts w:ascii="Liberation Sans" w:hAnsi="Liberation Sans"/>
          <w:color w:val="34313A"/>
          <w:sz w:val="19"/>
        </w:rPr>
        <w:t>Validate registration against the applicable State Register and/or NCISM National/Provisional National Register process where available.</w:t>
      </w:r>
    </w:p>
    <w:p>
      <w:pPr>
        <w:pStyle w:val="ListBullet"/>
        <w:spacing w:after="40" w:line="259" w:lineRule="auto"/>
      </w:pPr>
      <w:r>
        <w:rPr>
          <w:rFonts w:ascii="Liberation Sans" w:hAnsi="Liberation Sans"/>
          <w:color w:val="34313A"/>
          <w:sz w:val="19"/>
        </w:rPr>
        <w:t>Record registration number, system of medicine, state, validity/renewal evidence and verification timestamp.</w:t>
      </w:r>
    </w:p>
    <w:p>
      <w:pPr>
        <w:pStyle w:val="ListBullet"/>
        <w:spacing w:after="40" w:line="259" w:lineRule="auto"/>
      </w:pPr>
      <w:r>
        <w:rPr>
          <w:rFonts w:ascii="Liberation Sans" w:hAnsi="Liberation Sans"/>
          <w:color w:val="34313A"/>
          <w:sz w:val="19"/>
        </w:rPr>
        <w:t>Use manual review for mismatches; prevent profile activation until resolved.</w:t>
      </w:r>
    </w:p>
    <w:p>
      <w:pPr>
        <w:pStyle w:val="ListBullet"/>
        <w:spacing w:after="40" w:line="259" w:lineRule="auto"/>
      </w:pPr>
      <w:r>
        <w:rPr>
          <w:rFonts w:ascii="Liberation Sans" w:hAnsi="Liberation Sans"/>
          <w:color w:val="34313A"/>
          <w:sz w:val="19"/>
        </w:rPr>
        <w:t>Re-check credentials periodically and when regulatory/registration status changes.</w:t>
      </w:r>
    </w:p>
    <w:p>
      <w:pPr>
        <w:spacing w:before="160" w:after="80"/>
      </w:pPr>
      <w:r>
        <w:rPr>
          <w:rFonts w:ascii="Liberation Sans" w:hAnsi="Liberation Sans"/>
          <w:b/>
          <w:color w:val="2D94C6"/>
          <w:sz w:val="26"/>
        </w:rPr>
        <w:t>Facility and partner verification</w:t>
      </w:r>
    </w:p>
    <w:tbl>
      <w:tblPr>
        <w:tblStyle w:val="TableGrid"/>
        <w:tblW w:type="auto" w:w="0"/>
        <w:jc w:val="center"/>
        <w:tblLook w:firstColumn="1" w:firstRow="1" w:lastColumn="0" w:lastRow="0" w:noHBand="0" w:noVBand="1" w:val="04A0"/>
      </w:tblPr>
      <w:tblGrid>
        <w:gridCol w:w="5040"/>
        <w:gridCol w:w="5040"/>
      </w:tblGrid>
      <w:tr>
        <w:tc>
          <w:tcPr>
            <w:tcW w:type="dxa" w:w="2232"/>
            <w:shd w:fill="812A86"/>
            <w:tcMar>
              <w:top w:w="90" w:type="dxa"/>
              <w:start w:w="90" w:type="dxa"/>
              <w:bottom w:w="90" w:type="dxa"/>
              <w:end w:w="90" w:type="dxa"/>
            </w:tcMar>
            <w:vAlign w:val="center"/>
          </w:tcPr>
          <w:p>
            <w:pPr>
              <w:jc w:val="center"/>
            </w:pPr>
            <w:r>
              <w:rPr>
                <w:rFonts w:ascii="Liberation Sans" w:hAnsi="Liberation Sans"/>
                <w:b/>
                <w:color w:val="FFFFFF"/>
                <w:sz w:val="16"/>
              </w:rPr>
              <w:t>Partner</w:t>
            </w:r>
          </w:p>
        </w:tc>
        <w:tc>
          <w:tcPr>
            <w:tcW w:type="dxa" w:w="7128"/>
            <w:shd w:fill="812A86"/>
            <w:tcMar>
              <w:top w:w="90" w:type="dxa"/>
              <w:start w:w="90" w:type="dxa"/>
              <w:bottom w:w="90" w:type="dxa"/>
              <w:end w:w="90" w:type="dxa"/>
            </w:tcMar>
            <w:vAlign w:val="center"/>
          </w:tcPr>
          <w:p>
            <w:pPr>
              <w:jc w:val="center"/>
            </w:pPr>
            <w:r>
              <w:rPr>
                <w:rFonts w:ascii="Liberation Sans" w:hAnsi="Liberation Sans"/>
                <w:b/>
                <w:color w:val="FFFFFF"/>
                <w:sz w:val="16"/>
              </w:rPr>
              <w:t>Verification categories</w:t>
            </w:r>
          </w:p>
        </w:tc>
      </w:tr>
      <w:tr>
        <w:tc>
          <w:tcPr>
            <w:tcW w:type="dxa" w:w="2232"/>
            <w:tcMar>
              <w:top w:w="75" w:type="dxa"/>
              <w:start w:w="80" w:type="dxa"/>
              <w:bottom w:w="75" w:type="dxa"/>
              <w:end w:w="80" w:type="dxa"/>
            </w:tcMar>
            <w:vAlign w:val="center"/>
          </w:tcPr>
          <w:p>
            <w:r>
              <w:rPr>
                <w:rFonts w:ascii="Liberation Sans" w:hAnsi="Liberation Sans"/>
                <w:color w:val="34313A"/>
                <w:sz w:val="16"/>
              </w:rPr>
              <w:t>Panchakarma centre</w:t>
            </w:r>
          </w:p>
        </w:tc>
        <w:tc>
          <w:tcPr>
            <w:tcW w:type="dxa" w:w="7128"/>
            <w:tcMar>
              <w:top w:w="75" w:type="dxa"/>
              <w:start w:w="80" w:type="dxa"/>
              <w:bottom w:w="75" w:type="dxa"/>
              <w:end w:w="80" w:type="dxa"/>
            </w:tcMar>
            <w:vAlign w:val="center"/>
          </w:tcPr>
          <w:p>
            <w:r>
              <w:rPr>
                <w:rFonts w:ascii="Liberation Sans" w:hAnsi="Liberation Sans"/>
                <w:color w:val="34313A"/>
                <w:sz w:val="16"/>
              </w:rPr>
              <w:t>Ownership, facility address, supervising practitioner, staff, services, hygiene, equipment, emergency/escalation SOP, insurance/licences as applicable.</w:t>
            </w:r>
          </w:p>
        </w:tc>
      </w:tr>
      <w:tr>
        <w:tc>
          <w:tcPr>
            <w:tcW w:type="dxa" w:w="2232"/>
            <w:tcMar>
              <w:top w:w="75" w:type="dxa"/>
              <w:start w:w="80" w:type="dxa"/>
              <w:bottom w:w="75" w:type="dxa"/>
              <w:end w:w="80" w:type="dxa"/>
            </w:tcMar>
            <w:vAlign w:val="center"/>
            <w:shd w:fill="FAF8FB"/>
          </w:tcPr>
          <w:p>
            <w:r>
              <w:rPr>
                <w:rFonts w:ascii="Liberation Sans" w:hAnsi="Liberation Sans"/>
                <w:color w:val="34313A"/>
                <w:sz w:val="16"/>
              </w:rPr>
              <w:t>Diagnostic lab</w:t>
            </w:r>
          </w:p>
        </w:tc>
        <w:tc>
          <w:tcPr>
            <w:tcW w:type="dxa" w:w="7128"/>
            <w:tcMar>
              <w:top w:w="75" w:type="dxa"/>
              <w:start w:w="80" w:type="dxa"/>
              <w:bottom w:w="75" w:type="dxa"/>
              <w:end w:w="80" w:type="dxa"/>
            </w:tcMar>
            <w:vAlign w:val="center"/>
            <w:shd w:fill="FAF8FB"/>
          </w:tcPr>
          <w:p>
            <w:r>
              <w:rPr>
                <w:rFonts w:ascii="Liberation Sans" w:hAnsi="Liberation Sans"/>
                <w:color w:val="34313A"/>
                <w:sz w:val="16"/>
              </w:rPr>
              <w:t>Entity identity, locations, applicable licences/accreditation, test scope, TAT, collection procedures, report authentication.</w:t>
            </w:r>
          </w:p>
        </w:tc>
      </w:tr>
      <w:tr>
        <w:tc>
          <w:tcPr>
            <w:tcW w:type="dxa" w:w="2232"/>
            <w:tcMar>
              <w:top w:w="75" w:type="dxa"/>
              <w:start w:w="80" w:type="dxa"/>
              <w:bottom w:w="75" w:type="dxa"/>
              <w:end w:w="80" w:type="dxa"/>
            </w:tcMar>
            <w:vAlign w:val="center"/>
          </w:tcPr>
          <w:p>
            <w:r>
              <w:rPr>
                <w:rFonts w:ascii="Liberation Sans" w:hAnsi="Liberation Sans"/>
                <w:color w:val="34313A"/>
                <w:sz w:val="16"/>
              </w:rPr>
              <w:t>Pharmacy</w:t>
            </w:r>
          </w:p>
        </w:tc>
        <w:tc>
          <w:tcPr>
            <w:tcW w:type="dxa" w:w="7128"/>
            <w:tcMar>
              <w:top w:w="75" w:type="dxa"/>
              <w:start w:w="80" w:type="dxa"/>
              <w:bottom w:w="75" w:type="dxa"/>
              <w:end w:w="80" w:type="dxa"/>
            </w:tcMar>
            <w:vAlign w:val="center"/>
          </w:tcPr>
          <w:p>
            <w:r>
              <w:rPr>
                <w:rFonts w:ascii="Liberation Sans" w:hAnsi="Liberation Sans"/>
                <w:color w:val="34313A"/>
                <w:sz w:val="16"/>
              </w:rPr>
              <w:t>Entity identity, applicable sale/dispensing licences, storage, supplier controls, invoicing, return/recall process.</w:t>
            </w:r>
          </w:p>
        </w:tc>
      </w:tr>
    </w:tbl>
    <w:p>
      <w:pPr>
        <w:spacing w:after="20"/>
      </w:pPr>
    </w:p>
    <w:p>
      <w:pPr>
        <w:spacing w:before="160" w:after="80"/>
      </w:pPr>
      <w:r>
        <w:rPr>
          <w:rFonts w:ascii="Liberation Sans" w:hAnsi="Liberation Sans"/>
          <w:b/>
          <w:color w:val="2D94C6"/>
          <w:sz w:val="26"/>
        </w:rPr>
        <w:t>Quality governance</w:t>
      </w:r>
    </w:p>
    <w:p>
      <w:pPr>
        <w:pStyle w:val="ListBullet"/>
        <w:spacing w:after="40" w:line="259" w:lineRule="auto"/>
      </w:pPr>
      <w:r>
        <w:rPr>
          <w:rFonts w:ascii="Liberation Sans" w:hAnsi="Liberation Sans"/>
          <w:color w:val="34313A"/>
          <w:sz w:val="19"/>
        </w:rPr>
        <w:t>Objective SLA dashboards: appointment fulfilment, report TAT, delivery success, cancellation, complaint closure.</w:t>
      </w:r>
    </w:p>
    <w:p>
      <w:pPr>
        <w:pStyle w:val="ListBullet"/>
        <w:spacing w:after="40" w:line="259" w:lineRule="auto"/>
      </w:pPr>
      <w:r>
        <w:rPr>
          <w:rFonts w:ascii="Liberation Sans" w:hAnsi="Liberation Sans"/>
          <w:color w:val="34313A"/>
          <w:sz w:val="19"/>
        </w:rPr>
        <w:t>Safety-event and adverse-event workflow separated from normal customer support.</w:t>
      </w:r>
    </w:p>
    <w:p>
      <w:pPr>
        <w:pStyle w:val="ListBullet"/>
        <w:spacing w:after="40" w:line="259" w:lineRule="auto"/>
      </w:pPr>
      <w:r>
        <w:rPr>
          <w:rFonts w:ascii="Liberation Sans" w:hAnsi="Liberation Sans"/>
          <w:color w:val="34313A"/>
          <w:sz w:val="19"/>
        </w:rPr>
        <w:t>Random documentation/facility audits according to policy.</w:t>
      </w:r>
    </w:p>
    <w:p>
      <w:pPr>
        <w:pStyle w:val="ListBullet"/>
        <w:spacing w:after="40" w:line="259" w:lineRule="auto"/>
      </w:pPr>
      <w:r>
        <w:rPr>
          <w:rFonts w:ascii="Liberation Sans" w:hAnsi="Liberation Sans"/>
          <w:color w:val="34313A"/>
          <w:sz w:val="19"/>
        </w:rPr>
        <w:t>Partner suspension and remediation workflow with evidence.</w:t>
      </w:r>
    </w:p>
    <w:p>
      <w:pPr>
        <w:pStyle w:val="ListBullet"/>
        <w:spacing w:after="40" w:line="259" w:lineRule="auto"/>
      </w:pPr>
      <w:r>
        <w:rPr>
          <w:rFonts w:ascii="Liberation Sans" w:hAnsi="Liberation Sans"/>
          <w:color w:val="34313A"/>
          <w:sz w:val="19"/>
        </w:rPr>
        <w:t>Transparent review moderation; prohibit manipulation and retaliation.</w:t>
      </w:r>
    </w:p>
    <w:p>
      <w:pPr>
        <w:spacing w:before="120" w:after="40"/>
      </w:pPr>
      <w:r>
        <w:rPr>
          <w:rFonts w:ascii="Liberation Sans" w:hAnsi="Liberation Sans"/>
          <w:b/>
          <w:color w:val="812A86"/>
          <w:sz w:val="40"/>
        </w:rPr>
        <w:t>15. Data, Consent, ABDM &amp; Security</w:t>
      </w:r>
    </w:p>
    <w:p>
      <w:pPr>
        <w:spacing w:after="180"/>
      </w:pPr>
      <w:r>
        <w:rPr>
          <w:rFonts w:ascii="Liberation Sans" w:hAnsi="Liberation Sans"/>
          <w:color w:val="6B6470"/>
          <w:sz w:val="19"/>
        </w:rPr>
        <w:t>Health data architecture must be designed around patient control and auditable access.</w:t>
      </w:r>
    </w:p>
    <w:p>
      <w:pPr>
        <w:spacing w:after="100" w:before="0" w:line="269" w:lineRule="auto"/>
      </w:pPr>
      <w:r>
        <w:rPr>
          <w:rFonts w:ascii="Liberation Sans" w:hAnsi="Liberation Sans"/>
          <w:b w:val="0"/>
          <w:color w:val="34313A"/>
          <w:sz w:val="21"/>
        </w:rPr>
        <w:t>ABDM provides national building blocks including ABHA, Healthcare Professional Registry (HPR), Health Facility Registry (HFR) and interoperability mechanisms. ABDM materials describe consent-based exchange and a federated approach rather than a single central repository of all health records. The platform should be designed so ABDM integration can be added without rewriting the core domain model.</w:t>
      </w:r>
    </w:p>
    <w:p>
      <w:pPr>
        <w:spacing w:before="160" w:after="80"/>
      </w:pPr>
      <w:r>
        <w:rPr>
          <w:rFonts w:ascii="Liberation Sans" w:hAnsi="Liberation Sans"/>
          <w:b/>
          <w:color w:val="2D94C6"/>
          <w:sz w:val="26"/>
        </w:rPr>
        <w:t>Recommended data-control principles</w:t>
      </w:r>
    </w:p>
    <w:p>
      <w:pPr>
        <w:pStyle w:val="ListBullet"/>
        <w:spacing w:after="40" w:line="259" w:lineRule="auto"/>
      </w:pPr>
      <w:r>
        <w:rPr>
          <w:rFonts w:ascii="Liberation Sans" w:hAnsi="Liberation Sans"/>
          <w:color w:val="34313A"/>
          <w:sz w:val="19"/>
        </w:rPr>
        <w:t>Purpose-specific consent and privacy notices.</w:t>
      </w:r>
    </w:p>
    <w:p>
      <w:pPr>
        <w:pStyle w:val="ListBullet"/>
        <w:spacing w:after="40" w:line="259" w:lineRule="auto"/>
      </w:pPr>
      <w:r>
        <w:rPr>
          <w:rFonts w:ascii="Liberation Sans" w:hAnsi="Liberation Sans"/>
          <w:color w:val="34313A"/>
          <w:sz w:val="19"/>
        </w:rPr>
        <w:t>Role-based and attribute-based access for practitioner, clinic staff, lab, pharmacy, therapy centre and support roles.</w:t>
      </w:r>
    </w:p>
    <w:p>
      <w:pPr>
        <w:pStyle w:val="ListBullet"/>
        <w:spacing w:after="40" w:line="259" w:lineRule="auto"/>
      </w:pPr>
      <w:r>
        <w:rPr>
          <w:rFonts w:ascii="Liberation Sans" w:hAnsi="Liberation Sans"/>
          <w:color w:val="34313A"/>
          <w:sz w:val="19"/>
        </w:rPr>
        <w:t>Minimum necessary disclosure to partners; a pharmacy does not need the full clinical chart, and a lab does not need unrelated treatment history.</w:t>
      </w:r>
    </w:p>
    <w:p>
      <w:pPr>
        <w:pStyle w:val="ListBullet"/>
        <w:spacing w:after="40" w:line="259" w:lineRule="auto"/>
      </w:pPr>
      <w:r>
        <w:rPr>
          <w:rFonts w:ascii="Liberation Sans" w:hAnsi="Liberation Sans"/>
          <w:color w:val="34313A"/>
          <w:sz w:val="19"/>
        </w:rPr>
        <w:t>Immutable audit trail for sensitive record access, export, update and sharing.</w:t>
      </w:r>
    </w:p>
    <w:p>
      <w:pPr>
        <w:pStyle w:val="ListBullet"/>
        <w:spacing w:after="40" w:line="259" w:lineRule="auto"/>
      </w:pPr>
      <w:r>
        <w:rPr>
          <w:rFonts w:ascii="Liberation Sans" w:hAnsi="Liberation Sans"/>
          <w:color w:val="34313A"/>
          <w:sz w:val="19"/>
        </w:rPr>
        <w:t>Encryption in transit and at rest; managed keys/secrets and environment separation.</w:t>
      </w:r>
    </w:p>
    <w:p>
      <w:pPr>
        <w:pStyle w:val="ListBullet"/>
        <w:spacing w:after="40" w:line="259" w:lineRule="auto"/>
      </w:pPr>
      <w:r>
        <w:rPr>
          <w:rFonts w:ascii="Liberation Sans" w:hAnsi="Liberation Sans"/>
          <w:color w:val="34313A"/>
          <w:sz w:val="19"/>
        </w:rPr>
        <w:t>Strong practitioner/admin authentication, session controls and privileged-access governance.</w:t>
      </w:r>
    </w:p>
    <w:p>
      <w:pPr>
        <w:pStyle w:val="ListBullet"/>
        <w:spacing w:after="40" w:line="259" w:lineRule="auto"/>
      </w:pPr>
      <w:r>
        <w:rPr>
          <w:rFonts w:ascii="Liberation Sans" w:hAnsi="Liberation Sans"/>
          <w:color w:val="34313A"/>
          <w:sz w:val="19"/>
        </w:rPr>
        <w:t>Data retention and deletion processes mapped to legal, clinical and contractual requirements.</w:t>
      </w:r>
    </w:p>
    <w:p>
      <w:pPr>
        <w:pStyle w:val="ListBullet"/>
        <w:spacing w:after="40" w:line="259" w:lineRule="auto"/>
      </w:pPr>
      <w:r>
        <w:rPr>
          <w:rFonts w:ascii="Liberation Sans" w:hAnsi="Liberation Sans"/>
          <w:color w:val="34313A"/>
          <w:sz w:val="19"/>
        </w:rPr>
        <w:t>Incident response, breach assessment, backup/restore testing and vendor security review.</w:t>
      </w:r>
    </w:p>
    <w:p>
      <w:pPr>
        <w:spacing w:before="160" w:after="80"/>
      </w:pPr>
      <w:r>
        <w:rPr>
          <w:rFonts w:ascii="Liberation Sans" w:hAnsi="Liberation Sans"/>
          <w:b/>
          <w:color w:val="2D94C6"/>
          <w:sz w:val="26"/>
        </w:rPr>
        <w:t>DPDP readiness</w:t>
      </w:r>
    </w:p>
    <w:p>
      <w:pPr>
        <w:spacing w:after="100" w:before="0" w:line="269" w:lineRule="auto"/>
      </w:pPr>
      <w:r>
        <w:rPr>
          <w:rFonts w:ascii="Liberation Sans" w:hAnsi="Liberation Sans"/>
          <w:b w:val="0"/>
          <w:color w:val="34313A"/>
          <w:sz w:val="21"/>
        </w:rPr>
        <w:t>India’s Digital Personal Data Protection Rules, 2025 were notified on 14 November 2025 with an enforcement timeline. Product counsel should map the platform’s roles and obligations under the DPDP Act/Rules, including notices, consent/other lawful processing bases as applicable, data-principal rights handling, security safeguards, processors/vendors and breach response.</w:t>
      </w:r>
    </w:p>
    <w:p>
      <w:pPr>
        <w:spacing w:before="160" w:after="80"/>
      </w:pPr>
      <w:r>
        <w:rPr>
          <w:rFonts w:ascii="Liberation Sans" w:hAnsi="Liberation Sans"/>
          <w:b/>
          <w:color w:val="2D94C6"/>
          <w:sz w:val="26"/>
        </w:rPr>
        <w:t>ABDM integration roadmap</w:t>
      </w:r>
    </w:p>
    <w:tbl>
      <w:tblPr>
        <w:tblStyle w:val="TableGrid"/>
        <w:tblW w:type="auto" w:w="0"/>
        <w:jc w:val="center"/>
        <w:tblLook w:firstColumn="1" w:firstRow="1" w:lastColumn="0" w:lastRow="0" w:noHBand="0" w:noVBand="1" w:val="04A0"/>
      </w:tblPr>
      <w:tblGrid>
        <w:gridCol w:w="5040"/>
        <w:gridCol w:w="5040"/>
      </w:tblGrid>
      <w:tr>
        <w:tc>
          <w:tcPr>
            <w:tcW w:type="dxa" w:w="2016"/>
            <w:shd w:fill="812A86"/>
            <w:tcMar>
              <w:top w:w="90" w:type="dxa"/>
              <w:start w:w="90" w:type="dxa"/>
              <w:bottom w:w="90" w:type="dxa"/>
              <w:end w:w="90" w:type="dxa"/>
            </w:tcMar>
            <w:vAlign w:val="center"/>
          </w:tcPr>
          <w:p>
            <w:pPr>
              <w:jc w:val="center"/>
            </w:pPr>
            <w:r>
              <w:rPr>
                <w:rFonts w:ascii="Liberation Sans" w:hAnsi="Liberation Sans"/>
                <w:b/>
                <w:color w:val="FFFFFF"/>
                <w:sz w:val="16"/>
              </w:rPr>
              <w:t>Stage</w:t>
            </w:r>
          </w:p>
        </w:tc>
        <w:tc>
          <w:tcPr>
            <w:tcW w:type="dxa" w:w="7344"/>
            <w:shd w:fill="812A86"/>
            <w:tcMar>
              <w:top w:w="90" w:type="dxa"/>
              <w:start w:w="90" w:type="dxa"/>
              <w:bottom w:w="90" w:type="dxa"/>
              <w:end w:w="90" w:type="dxa"/>
            </w:tcMar>
            <w:vAlign w:val="center"/>
          </w:tcPr>
          <w:p>
            <w:pPr>
              <w:jc w:val="center"/>
            </w:pPr>
            <w:r>
              <w:rPr>
                <w:rFonts w:ascii="Liberation Sans" w:hAnsi="Liberation Sans"/>
                <w:b/>
                <w:color w:val="FFFFFF"/>
                <w:sz w:val="16"/>
              </w:rPr>
              <w:t>Capability</w:t>
            </w:r>
          </w:p>
        </w:tc>
      </w:tr>
      <w:tr>
        <w:tc>
          <w:tcPr>
            <w:tcW w:type="dxa" w:w="2016"/>
            <w:tcMar>
              <w:top w:w="75" w:type="dxa"/>
              <w:start w:w="80" w:type="dxa"/>
              <w:bottom w:w="75" w:type="dxa"/>
              <w:end w:w="80" w:type="dxa"/>
            </w:tcMar>
            <w:vAlign w:val="center"/>
          </w:tcPr>
          <w:p>
            <w:r>
              <w:rPr>
                <w:rFonts w:ascii="Liberation Sans" w:hAnsi="Liberation Sans"/>
                <w:color w:val="34313A"/>
                <w:sz w:val="16"/>
              </w:rPr>
              <w:t>Foundation</w:t>
            </w:r>
          </w:p>
        </w:tc>
        <w:tc>
          <w:tcPr>
            <w:tcW w:type="dxa" w:w="7344"/>
            <w:tcMar>
              <w:top w:w="75" w:type="dxa"/>
              <w:start w:w="80" w:type="dxa"/>
              <w:bottom w:w="75" w:type="dxa"/>
              <w:end w:w="80" w:type="dxa"/>
            </w:tcMar>
            <w:vAlign w:val="center"/>
          </w:tcPr>
          <w:p>
            <w:r>
              <w:rPr>
                <w:rFonts w:ascii="Liberation Sans" w:hAnsi="Liberation Sans"/>
                <w:color w:val="34313A"/>
                <w:sz w:val="16"/>
              </w:rPr>
              <w:t>Use interoperable identifiers and structured health-data concepts internally.</w:t>
            </w:r>
          </w:p>
        </w:tc>
      </w:tr>
      <w:tr>
        <w:tc>
          <w:tcPr>
            <w:tcW w:type="dxa" w:w="2016"/>
            <w:tcMar>
              <w:top w:w="75" w:type="dxa"/>
              <w:start w:w="80" w:type="dxa"/>
              <w:bottom w:w="75" w:type="dxa"/>
              <w:end w:w="80" w:type="dxa"/>
            </w:tcMar>
            <w:vAlign w:val="center"/>
            <w:shd w:fill="FAF8FB"/>
          </w:tcPr>
          <w:p>
            <w:r>
              <w:rPr>
                <w:rFonts w:ascii="Liberation Sans" w:hAnsi="Liberation Sans"/>
                <w:color w:val="34313A"/>
                <w:sz w:val="16"/>
              </w:rPr>
              <w:t>Registry alignment</w:t>
            </w:r>
          </w:p>
        </w:tc>
        <w:tc>
          <w:tcPr>
            <w:tcW w:type="dxa" w:w="7344"/>
            <w:tcMar>
              <w:top w:w="75" w:type="dxa"/>
              <w:start w:w="80" w:type="dxa"/>
              <w:bottom w:w="75" w:type="dxa"/>
              <w:end w:w="80" w:type="dxa"/>
            </w:tcMar>
            <w:vAlign w:val="center"/>
            <w:shd w:fill="FAF8FB"/>
          </w:tcPr>
          <w:p>
            <w:r>
              <w:rPr>
                <w:rFonts w:ascii="Liberation Sans" w:hAnsi="Liberation Sans"/>
                <w:color w:val="34313A"/>
                <w:sz w:val="16"/>
              </w:rPr>
              <w:t>Support HPR/HFR identifiers for verified professionals/facilities where applicable.</w:t>
            </w:r>
          </w:p>
        </w:tc>
      </w:tr>
      <w:tr>
        <w:tc>
          <w:tcPr>
            <w:tcW w:type="dxa" w:w="2016"/>
            <w:tcMar>
              <w:top w:w="75" w:type="dxa"/>
              <w:start w:w="80" w:type="dxa"/>
              <w:bottom w:w="75" w:type="dxa"/>
              <w:end w:w="80" w:type="dxa"/>
            </w:tcMar>
            <w:vAlign w:val="center"/>
          </w:tcPr>
          <w:p>
            <w:r>
              <w:rPr>
                <w:rFonts w:ascii="Liberation Sans" w:hAnsi="Liberation Sans"/>
                <w:color w:val="34313A"/>
                <w:sz w:val="16"/>
              </w:rPr>
              <w:t>ABHA</w:t>
            </w:r>
          </w:p>
        </w:tc>
        <w:tc>
          <w:tcPr>
            <w:tcW w:type="dxa" w:w="7344"/>
            <w:tcMar>
              <w:top w:w="75" w:type="dxa"/>
              <w:start w:w="80" w:type="dxa"/>
              <w:bottom w:w="75" w:type="dxa"/>
              <w:end w:w="80" w:type="dxa"/>
            </w:tcMar>
            <w:vAlign w:val="center"/>
          </w:tcPr>
          <w:p>
            <w:r>
              <w:rPr>
                <w:rFonts w:ascii="Liberation Sans" w:hAnsi="Liberation Sans"/>
                <w:color w:val="34313A"/>
                <w:sz w:val="16"/>
              </w:rPr>
              <w:t>Enable patient linking/identification through approved integration flow.</w:t>
            </w:r>
          </w:p>
        </w:tc>
      </w:tr>
      <w:tr>
        <w:tc>
          <w:tcPr>
            <w:tcW w:type="dxa" w:w="2016"/>
            <w:tcMar>
              <w:top w:w="75" w:type="dxa"/>
              <w:start w:w="80" w:type="dxa"/>
              <w:bottom w:w="75" w:type="dxa"/>
              <w:end w:w="80" w:type="dxa"/>
            </w:tcMar>
            <w:vAlign w:val="center"/>
            <w:shd w:fill="FAF8FB"/>
          </w:tcPr>
          <w:p>
            <w:r>
              <w:rPr>
                <w:rFonts w:ascii="Liberation Sans" w:hAnsi="Liberation Sans"/>
                <w:color w:val="34313A"/>
                <w:sz w:val="16"/>
              </w:rPr>
              <w:t>Health records</w:t>
            </w:r>
          </w:p>
        </w:tc>
        <w:tc>
          <w:tcPr>
            <w:tcW w:type="dxa" w:w="7344"/>
            <w:tcMar>
              <w:top w:w="75" w:type="dxa"/>
              <w:start w:w="80" w:type="dxa"/>
              <w:bottom w:w="75" w:type="dxa"/>
              <w:end w:w="80" w:type="dxa"/>
            </w:tcMar>
            <w:vAlign w:val="center"/>
            <w:shd w:fill="FAF8FB"/>
          </w:tcPr>
          <w:p>
            <w:r>
              <w:rPr>
                <w:rFonts w:ascii="Liberation Sans" w:hAnsi="Liberation Sans"/>
                <w:color w:val="34313A"/>
                <w:sz w:val="16"/>
              </w:rPr>
              <w:t>Publish/consume permitted health information through ABDM-compliant workflows after sandbox/security requirements.</w:t>
            </w:r>
          </w:p>
        </w:tc>
      </w:tr>
      <w:tr>
        <w:tc>
          <w:tcPr>
            <w:tcW w:type="dxa" w:w="2016"/>
            <w:tcMar>
              <w:top w:w="75" w:type="dxa"/>
              <w:start w:w="80" w:type="dxa"/>
              <w:bottom w:w="75" w:type="dxa"/>
              <w:end w:w="80" w:type="dxa"/>
            </w:tcMar>
            <w:vAlign w:val="center"/>
          </w:tcPr>
          <w:p>
            <w:r>
              <w:rPr>
                <w:rFonts w:ascii="Liberation Sans" w:hAnsi="Liberation Sans"/>
                <w:color w:val="34313A"/>
                <w:sz w:val="16"/>
              </w:rPr>
              <w:t>Consent</w:t>
            </w:r>
          </w:p>
        </w:tc>
        <w:tc>
          <w:tcPr>
            <w:tcW w:type="dxa" w:w="7344"/>
            <w:tcMar>
              <w:top w:w="75" w:type="dxa"/>
              <w:start w:w="80" w:type="dxa"/>
              <w:bottom w:w="75" w:type="dxa"/>
              <w:end w:w="80" w:type="dxa"/>
            </w:tcMar>
            <w:vAlign w:val="center"/>
          </w:tcPr>
          <w:p>
            <w:r>
              <w:rPr>
                <w:rFonts w:ascii="Liberation Sans" w:hAnsi="Liberation Sans"/>
                <w:color w:val="34313A"/>
                <w:sz w:val="16"/>
              </w:rPr>
              <w:t>Integrate approved consent-based exchange rather than proprietary blanket consent.</w:t>
            </w:r>
          </w:p>
        </w:tc>
      </w:tr>
    </w:tbl>
    <w:p>
      <w:pPr>
        <w:spacing w:after="20"/>
      </w:pPr>
    </w:p>
    <w:p>
      <w:pPr>
        <w:spacing w:before="120" w:after="40"/>
      </w:pPr>
      <w:r>
        <w:rPr>
          <w:rFonts w:ascii="Liberation Sans" w:hAnsi="Liberation Sans"/>
          <w:b/>
          <w:color w:val="812A86"/>
          <w:sz w:val="40"/>
        </w:rPr>
        <w:t>16. AI &amp; Automation</w:t>
      </w:r>
    </w:p>
    <w:p>
      <w:pPr>
        <w:spacing w:after="180"/>
      </w:pPr>
      <w:r>
        <w:rPr>
          <w:rFonts w:ascii="Liberation Sans" w:hAnsi="Liberation Sans"/>
          <w:color w:val="6B6470"/>
          <w:sz w:val="19"/>
        </w:rPr>
        <w:t>AI assists documentation and navigation; accountable clinicians remain responsible for clinical decisions.</w:t>
      </w:r>
    </w:p>
    <w:tbl>
      <w:tblPr>
        <w:tblStyle w:val="TableGrid"/>
        <w:tblW w:type="auto" w:w="0"/>
        <w:jc w:val="center"/>
        <w:tblLook w:firstColumn="1" w:firstRow="1" w:lastColumn="0" w:lastRow="0" w:noHBand="0" w:noVBand="1" w:val="04A0"/>
      </w:tblPr>
      <w:tblGrid>
        <w:gridCol w:w="5040"/>
        <w:gridCol w:w="5040"/>
      </w:tblGrid>
      <w:tr>
        <w:tc>
          <w:tcPr>
            <w:tcW w:type="dxa" w:w="2520"/>
            <w:shd w:fill="812A86"/>
            <w:tcMar>
              <w:top w:w="90" w:type="dxa"/>
              <w:start w:w="90" w:type="dxa"/>
              <w:bottom w:w="90" w:type="dxa"/>
              <w:end w:w="90" w:type="dxa"/>
            </w:tcMar>
            <w:vAlign w:val="center"/>
          </w:tcPr>
          <w:p>
            <w:pPr>
              <w:jc w:val="center"/>
            </w:pPr>
            <w:r>
              <w:rPr>
                <w:rFonts w:ascii="Liberation Sans" w:hAnsi="Liberation Sans"/>
                <w:b/>
                <w:color w:val="FFFFFF"/>
                <w:sz w:val="16"/>
              </w:rPr>
              <w:t>Use case</w:t>
            </w:r>
          </w:p>
        </w:tc>
        <w:tc>
          <w:tcPr>
            <w:tcW w:type="dxa" w:w="6840"/>
            <w:shd w:fill="812A86"/>
            <w:tcMar>
              <w:top w:w="90" w:type="dxa"/>
              <w:start w:w="90" w:type="dxa"/>
              <w:bottom w:w="90" w:type="dxa"/>
              <w:end w:w="90" w:type="dxa"/>
            </w:tcMar>
            <w:vAlign w:val="center"/>
          </w:tcPr>
          <w:p>
            <w:pPr>
              <w:jc w:val="center"/>
            </w:pPr>
            <w:r>
              <w:rPr>
                <w:rFonts w:ascii="Liberation Sans" w:hAnsi="Liberation Sans"/>
                <w:b/>
                <w:color w:val="FFFFFF"/>
                <w:sz w:val="16"/>
              </w:rPr>
              <w:t>Recommended boundary</w:t>
            </w:r>
          </w:p>
        </w:tc>
      </w:tr>
      <w:tr>
        <w:tc>
          <w:tcPr>
            <w:tcW w:type="dxa" w:w="2520"/>
            <w:tcMar>
              <w:top w:w="75" w:type="dxa"/>
              <w:start w:w="80" w:type="dxa"/>
              <w:bottom w:w="75" w:type="dxa"/>
              <w:end w:w="80" w:type="dxa"/>
            </w:tcMar>
            <w:vAlign w:val="center"/>
          </w:tcPr>
          <w:p>
            <w:r>
              <w:rPr>
                <w:rFonts w:ascii="Liberation Sans" w:hAnsi="Liberation Sans"/>
                <w:color w:val="34313A"/>
                <w:sz w:val="16"/>
              </w:rPr>
              <w:t>Pre-consultation intake</w:t>
            </w:r>
          </w:p>
        </w:tc>
        <w:tc>
          <w:tcPr>
            <w:tcW w:type="dxa" w:w="6840"/>
            <w:tcMar>
              <w:top w:w="75" w:type="dxa"/>
              <w:start w:w="80" w:type="dxa"/>
              <w:bottom w:w="75" w:type="dxa"/>
              <w:end w:w="80" w:type="dxa"/>
            </w:tcMar>
            <w:vAlign w:val="center"/>
          </w:tcPr>
          <w:p>
            <w:r>
              <w:rPr>
                <w:rFonts w:ascii="Liberation Sans" w:hAnsi="Liberation Sans"/>
                <w:color w:val="34313A"/>
                <w:sz w:val="16"/>
              </w:rPr>
              <w:t>Convert patient speech/text into a structured draft for review; do not diagnose.</w:t>
            </w:r>
          </w:p>
        </w:tc>
      </w:tr>
      <w:tr>
        <w:tc>
          <w:tcPr>
            <w:tcW w:type="dxa" w:w="2520"/>
            <w:tcMar>
              <w:top w:w="75" w:type="dxa"/>
              <w:start w:w="80" w:type="dxa"/>
              <w:bottom w:w="75" w:type="dxa"/>
              <w:end w:w="80" w:type="dxa"/>
            </w:tcMar>
            <w:vAlign w:val="center"/>
            <w:shd w:fill="FAF8FB"/>
          </w:tcPr>
          <w:p>
            <w:r>
              <w:rPr>
                <w:rFonts w:ascii="Liberation Sans" w:hAnsi="Liberation Sans"/>
                <w:color w:val="34313A"/>
                <w:sz w:val="16"/>
              </w:rPr>
              <w:t>Consultation transcription</w:t>
            </w:r>
          </w:p>
        </w:tc>
        <w:tc>
          <w:tcPr>
            <w:tcW w:type="dxa" w:w="6840"/>
            <w:tcMar>
              <w:top w:w="75" w:type="dxa"/>
              <w:start w:w="80" w:type="dxa"/>
              <w:bottom w:w="75" w:type="dxa"/>
              <w:end w:w="80" w:type="dxa"/>
            </w:tcMar>
            <w:vAlign w:val="center"/>
            <w:shd w:fill="FAF8FB"/>
          </w:tcPr>
          <w:p>
            <w:r>
              <w:rPr>
                <w:rFonts w:ascii="Liberation Sans" w:hAnsi="Liberation Sans"/>
                <w:color w:val="34313A"/>
                <w:sz w:val="16"/>
              </w:rPr>
              <w:t>Generate draft notes with explicit practitioner review before finalisation.</w:t>
            </w:r>
          </w:p>
        </w:tc>
      </w:tr>
      <w:tr>
        <w:tc>
          <w:tcPr>
            <w:tcW w:type="dxa" w:w="2520"/>
            <w:tcMar>
              <w:top w:w="75" w:type="dxa"/>
              <w:start w:w="80" w:type="dxa"/>
              <w:bottom w:w="75" w:type="dxa"/>
              <w:end w:w="80" w:type="dxa"/>
            </w:tcMar>
            <w:vAlign w:val="center"/>
          </w:tcPr>
          <w:p>
            <w:r>
              <w:rPr>
                <w:rFonts w:ascii="Liberation Sans" w:hAnsi="Liberation Sans"/>
                <w:color w:val="34313A"/>
                <w:sz w:val="16"/>
              </w:rPr>
              <w:t>Care-plan explanation</w:t>
            </w:r>
          </w:p>
        </w:tc>
        <w:tc>
          <w:tcPr>
            <w:tcW w:type="dxa" w:w="6840"/>
            <w:tcMar>
              <w:top w:w="75" w:type="dxa"/>
              <w:start w:w="80" w:type="dxa"/>
              <w:bottom w:w="75" w:type="dxa"/>
              <w:end w:w="80" w:type="dxa"/>
            </w:tcMar>
            <w:vAlign w:val="center"/>
          </w:tcPr>
          <w:p>
            <w:r>
              <w:rPr>
                <w:rFonts w:ascii="Liberation Sans" w:hAnsi="Liberation Sans"/>
                <w:color w:val="34313A"/>
                <w:sz w:val="16"/>
              </w:rPr>
              <w:t>Translate clinician-approved instructions into simpler or local-language wording without changing meaning.</w:t>
            </w:r>
          </w:p>
        </w:tc>
      </w:tr>
      <w:tr>
        <w:tc>
          <w:tcPr>
            <w:tcW w:type="dxa" w:w="2520"/>
            <w:tcMar>
              <w:top w:w="75" w:type="dxa"/>
              <w:start w:w="80" w:type="dxa"/>
              <w:bottom w:w="75" w:type="dxa"/>
              <w:end w:w="80" w:type="dxa"/>
            </w:tcMar>
            <w:vAlign w:val="center"/>
            <w:shd w:fill="FAF8FB"/>
          </w:tcPr>
          <w:p>
            <w:r>
              <w:rPr>
                <w:rFonts w:ascii="Liberation Sans" w:hAnsi="Liberation Sans"/>
                <w:color w:val="34313A"/>
                <w:sz w:val="16"/>
              </w:rPr>
              <w:t>Patient Q&amp;A</w:t>
            </w:r>
          </w:p>
        </w:tc>
        <w:tc>
          <w:tcPr>
            <w:tcW w:type="dxa" w:w="6840"/>
            <w:tcMar>
              <w:top w:w="75" w:type="dxa"/>
              <w:start w:w="80" w:type="dxa"/>
              <w:bottom w:w="75" w:type="dxa"/>
              <w:end w:w="80" w:type="dxa"/>
            </w:tcMar>
            <w:vAlign w:val="center"/>
            <w:shd w:fill="FAF8FB"/>
          </w:tcPr>
          <w:p>
            <w:r>
              <w:rPr>
                <w:rFonts w:ascii="Liberation Sans" w:hAnsi="Liberation Sans"/>
                <w:color w:val="34313A"/>
                <w:sz w:val="16"/>
              </w:rPr>
              <w:t>Answer from the signed care plan, approved education content and operational data; escalate uncertain/clinical questions.</w:t>
            </w:r>
          </w:p>
        </w:tc>
      </w:tr>
      <w:tr>
        <w:tc>
          <w:tcPr>
            <w:tcW w:type="dxa" w:w="2520"/>
            <w:tcMar>
              <w:top w:w="75" w:type="dxa"/>
              <w:start w:w="80" w:type="dxa"/>
              <w:bottom w:w="75" w:type="dxa"/>
              <w:end w:w="80" w:type="dxa"/>
            </w:tcMar>
            <w:vAlign w:val="center"/>
          </w:tcPr>
          <w:p>
            <w:r>
              <w:rPr>
                <w:rFonts w:ascii="Liberation Sans" w:hAnsi="Liberation Sans"/>
                <w:color w:val="34313A"/>
                <w:sz w:val="16"/>
              </w:rPr>
              <w:t>Coding/search</w:t>
            </w:r>
          </w:p>
        </w:tc>
        <w:tc>
          <w:tcPr>
            <w:tcW w:type="dxa" w:w="6840"/>
            <w:tcMar>
              <w:top w:w="75" w:type="dxa"/>
              <w:start w:w="80" w:type="dxa"/>
              <w:bottom w:w="75" w:type="dxa"/>
              <w:end w:w="80" w:type="dxa"/>
            </w:tcMar>
            <w:vAlign w:val="center"/>
          </w:tcPr>
          <w:p>
            <w:r>
              <w:rPr>
                <w:rFonts w:ascii="Liberation Sans" w:hAnsi="Liberation Sans"/>
                <w:color w:val="34313A"/>
                <w:sz w:val="16"/>
              </w:rPr>
              <w:t>Help practitioner find templates, prior records and relevant catalogue items.</w:t>
            </w:r>
          </w:p>
        </w:tc>
      </w:tr>
      <w:tr>
        <w:tc>
          <w:tcPr>
            <w:tcW w:type="dxa" w:w="2520"/>
            <w:tcMar>
              <w:top w:w="75" w:type="dxa"/>
              <w:start w:w="80" w:type="dxa"/>
              <w:bottom w:w="75" w:type="dxa"/>
              <w:end w:w="80" w:type="dxa"/>
            </w:tcMar>
            <w:vAlign w:val="center"/>
            <w:shd w:fill="FAF8FB"/>
          </w:tcPr>
          <w:p>
            <w:r>
              <w:rPr>
                <w:rFonts w:ascii="Liberation Sans" w:hAnsi="Liberation Sans"/>
                <w:color w:val="34313A"/>
                <w:sz w:val="16"/>
              </w:rPr>
              <w:t>Operations</w:t>
            </w:r>
          </w:p>
        </w:tc>
        <w:tc>
          <w:tcPr>
            <w:tcW w:type="dxa" w:w="6840"/>
            <w:tcMar>
              <w:top w:w="75" w:type="dxa"/>
              <w:start w:w="80" w:type="dxa"/>
              <w:bottom w:w="75" w:type="dxa"/>
              <w:end w:w="80" w:type="dxa"/>
            </w:tcMar>
            <w:vAlign w:val="center"/>
            <w:shd w:fill="FAF8FB"/>
          </w:tcPr>
          <w:p>
            <w:r>
              <w:rPr>
                <w:rFonts w:ascii="Liberation Sans" w:hAnsi="Liberation Sans"/>
                <w:color w:val="34313A"/>
                <w:sz w:val="16"/>
              </w:rPr>
              <w:t>Predict no-shows, classify support tickets, detect fulfilment anomalies and assist reconciliation.</w:t>
            </w:r>
          </w:p>
        </w:tc>
      </w:tr>
      <w:tr>
        <w:tc>
          <w:tcPr>
            <w:tcW w:type="dxa" w:w="2520"/>
            <w:tcMar>
              <w:top w:w="75" w:type="dxa"/>
              <w:start w:w="80" w:type="dxa"/>
              <w:bottom w:w="75" w:type="dxa"/>
              <w:end w:w="80" w:type="dxa"/>
            </w:tcMar>
            <w:vAlign w:val="center"/>
          </w:tcPr>
          <w:p>
            <w:r>
              <w:rPr>
                <w:rFonts w:ascii="Liberation Sans" w:hAnsi="Liberation Sans"/>
                <w:color w:val="34313A"/>
                <w:sz w:val="16"/>
              </w:rPr>
              <w:t>Safety controls</w:t>
            </w:r>
          </w:p>
        </w:tc>
        <w:tc>
          <w:tcPr>
            <w:tcW w:type="dxa" w:w="6840"/>
            <w:tcMar>
              <w:top w:w="75" w:type="dxa"/>
              <w:start w:w="80" w:type="dxa"/>
              <w:bottom w:w="75" w:type="dxa"/>
              <w:end w:w="80" w:type="dxa"/>
            </w:tcMar>
            <w:vAlign w:val="center"/>
          </w:tcPr>
          <w:p>
            <w:r>
              <w:rPr>
                <w:rFonts w:ascii="Liberation Sans" w:hAnsi="Liberation Sans"/>
                <w:color w:val="34313A"/>
                <w:sz w:val="16"/>
              </w:rPr>
              <w:t>Block autonomous prescription changes, unsupported claims and fabricated clinical advice; log model-assisted actions.</w:t>
            </w:r>
          </w:p>
        </w:tc>
      </w:tr>
    </w:tbl>
    <w:p>
      <w:pPr>
        <w:spacing w:after="20"/>
      </w:pPr>
    </w:p>
    <w:p>
      <w:pPr>
        <w:spacing w:before="120" w:after="40"/>
      </w:pPr>
      <w:r>
        <w:rPr>
          <w:rFonts w:ascii="Liberation Sans" w:hAnsi="Liberation Sans"/>
          <w:b/>
          <w:color w:val="812A86"/>
          <w:sz w:val="40"/>
        </w:rPr>
        <w:t>17. Business Model &amp; Commercial Mechanics</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812A86"/>
            <w:tcMar>
              <w:top w:w="90" w:type="dxa"/>
              <w:start w:w="90" w:type="dxa"/>
              <w:bottom w:w="90" w:type="dxa"/>
              <w:end w:w="90" w:type="dxa"/>
            </w:tcMar>
            <w:vAlign w:val="center"/>
          </w:tcPr>
          <w:p>
            <w:pPr>
              <w:jc w:val="center"/>
            </w:pPr>
            <w:r>
              <w:rPr>
                <w:rFonts w:ascii="Liberation Sans" w:hAnsi="Liberation Sans"/>
                <w:b/>
                <w:color w:val="FFFFFF"/>
                <w:sz w:val="16"/>
              </w:rPr>
              <w:t>Revenue line</w:t>
            </w:r>
          </w:p>
        </w:tc>
        <w:tc>
          <w:tcPr>
            <w:tcW w:type="dxa" w:w="3456"/>
            <w:shd w:fill="812A86"/>
            <w:tcMar>
              <w:top w:w="90" w:type="dxa"/>
              <w:start w:w="90" w:type="dxa"/>
              <w:bottom w:w="90" w:type="dxa"/>
              <w:end w:w="90" w:type="dxa"/>
            </w:tcMar>
            <w:vAlign w:val="center"/>
          </w:tcPr>
          <w:p>
            <w:pPr>
              <w:jc w:val="center"/>
            </w:pPr>
            <w:r>
              <w:rPr>
                <w:rFonts w:ascii="Liberation Sans" w:hAnsi="Liberation Sans"/>
                <w:b/>
                <w:color w:val="FFFFFF"/>
                <w:sz w:val="16"/>
              </w:rPr>
              <w:t>Possible charging model</w:t>
            </w:r>
          </w:p>
        </w:tc>
        <w:tc>
          <w:tcPr>
            <w:tcW w:type="dxa" w:w="3816"/>
            <w:shd w:fill="812A86"/>
            <w:tcMar>
              <w:top w:w="90" w:type="dxa"/>
              <w:start w:w="90" w:type="dxa"/>
              <w:bottom w:w="90" w:type="dxa"/>
              <w:end w:w="90" w:type="dxa"/>
            </w:tcMar>
            <w:vAlign w:val="center"/>
          </w:tcPr>
          <w:p>
            <w:pPr>
              <w:jc w:val="center"/>
            </w:pPr>
            <w:r>
              <w:rPr>
                <w:rFonts w:ascii="Liberation Sans" w:hAnsi="Liberation Sans"/>
                <w:b/>
                <w:color w:val="FFFFFF"/>
                <w:sz w:val="16"/>
              </w:rPr>
              <w:t>Guardrail</w:t>
            </w:r>
          </w:p>
        </w:tc>
      </w:tr>
      <w:tr>
        <w:tc>
          <w:tcPr>
            <w:tcW w:type="dxa" w:w="2088"/>
            <w:tcMar>
              <w:top w:w="75" w:type="dxa"/>
              <w:start w:w="80" w:type="dxa"/>
              <w:bottom w:w="75" w:type="dxa"/>
              <w:end w:w="80" w:type="dxa"/>
            </w:tcMar>
            <w:vAlign w:val="center"/>
          </w:tcPr>
          <w:p>
            <w:r>
              <w:rPr>
                <w:rFonts w:ascii="Liberation Sans" w:hAnsi="Liberation Sans"/>
                <w:color w:val="34313A"/>
                <w:sz w:val="16"/>
              </w:rPr>
              <w:t>Consultation</w:t>
            </w:r>
          </w:p>
        </w:tc>
        <w:tc>
          <w:tcPr>
            <w:tcW w:type="dxa" w:w="3456"/>
            <w:tcMar>
              <w:top w:w="75" w:type="dxa"/>
              <w:start w:w="80" w:type="dxa"/>
              <w:bottom w:w="75" w:type="dxa"/>
              <w:end w:w="80" w:type="dxa"/>
            </w:tcMar>
            <w:vAlign w:val="center"/>
          </w:tcPr>
          <w:p>
            <w:r>
              <w:rPr>
                <w:rFonts w:ascii="Liberation Sans" w:hAnsi="Liberation Sans"/>
                <w:color w:val="34313A"/>
                <w:sz w:val="16"/>
              </w:rPr>
              <w:t>Platform fee or practitioner subscription.</w:t>
            </w:r>
          </w:p>
        </w:tc>
        <w:tc>
          <w:tcPr>
            <w:tcW w:type="dxa" w:w="3816"/>
            <w:tcMar>
              <w:top w:w="75" w:type="dxa"/>
              <w:start w:w="80" w:type="dxa"/>
              <w:bottom w:w="75" w:type="dxa"/>
              <w:end w:w="80" w:type="dxa"/>
            </w:tcMar>
            <w:vAlign w:val="center"/>
          </w:tcPr>
          <w:p>
            <w:r>
              <w:rPr>
                <w:rFonts w:ascii="Liberation Sans" w:hAnsi="Liberation Sans"/>
                <w:color w:val="34313A"/>
                <w:sz w:val="16"/>
              </w:rPr>
              <w:t>Do not influence treatment choice based on fee.</w:t>
            </w:r>
          </w:p>
        </w:tc>
      </w:tr>
      <w:tr>
        <w:tc>
          <w:tcPr>
            <w:tcW w:type="dxa" w:w="2088"/>
            <w:tcMar>
              <w:top w:w="75" w:type="dxa"/>
              <w:start w:w="80" w:type="dxa"/>
              <w:bottom w:w="75" w:type="dxa"/>
              <w:end w:w="80" w:type="dxa"/>
            </w:tcMar>
            <w:vAlign w:val="center"/>
            <w:shd w:fill="FAF8FB"/>
          </w:tcPr>
          <w:p>
            <w:r>
              <w:rPr>
                <w:rFonts w:ascii="Liberation Sans" w:hAnsi="Liberation Sans"/>
                <w:color w:val="34313A"/>
                <w:sz w:val="16"/>
              </w:rPr>
              <w:t>Doctor SaaS</w:t>
            </w:r>
          </w:p>
        </w:tc>
        <w:tc>
          <w:tcPr>
            <w:tcW w:type="dxa" w:w="3456"/>
            <w:tcMar>
              <w:top w:w="75" w:type="dxa"/>
              <w:start w:w="80" w:type="dxa"/>
              <w:bottom w:w="75" w:type="dxa"/>
              <w:end w:w="80" w:type="dxa"/>
            </w:tcMar>
            <w:vAlign w:val="center"/>
            <w:shd w:fill="FAF8FB"/>
          </w:tcPr>
          <w:p>
            <w:r>
              <w:rPr>
                <w:rFonts w:ascii="Liberation Sans" w:hAnsi="Liberation Sans"/>
                <w:color w:val="34313A"/>
                <w:sz w:val="16"/>
              </w:rPr>
              <w:t>Monthly/annual clinic software plan.</w:t>
            </w:r>
          </w:p>
        </w:tc>
        <w:tc>
          <w:tcPr>
            <w:tcW w:type="dxa" w:w="3816"/>
            <w:tcMar>
              <w:top w:w="75" w:type="dxa"/>
              <w:start w:w="80" w:type="dxa"/>
              <w:bottom w:w="75" w:type="dxa"/>
              <w:end w:w="80" w:type="dxa"/>
            </w:tcMar>
            <w:vAlign w:val="center"/>
            <w:shd w:fill="FAF8FB"/>
          </w:tcPr>
          <w:p>
            <w:r>
              <w:rPr>
                <w:rFonts w:ascii="Liberation Sans" w:hAnsi="Liberation Sans"/>
                <w:color w:val="34313A"/>
                <w:sz w:val="16"/>
              </w:rPr>
              <w:t>Clear feature tiers and data portability.</w:t>
            </w:r>
          </w:p>
        </w:tc>
      </w:tr>
      <w:tr>
        <w:tc>
          <w:tcPr>
            <w:tcW w:type="dxa" w:w="2088"/>
            <w:tcMar>
              <w:top w:w="75" w:type="dxa"/>
              <w:start w:w="80" w:type="dxa"/>
              <w:bottom w:w="75" w:type="dxa"/>
              <w:end w:w="80" w:type="dxa"/>
            </w:tcMar>
            <w:vAlign w:val="center"/>
          </w:tcPr>
          <w:p>
            <w:r>
              <w:rPr>
                <w:rFonts w:ascii="Liberation Sans" w:hAnsi="Liberation Sans"/>
                <w:color w:val="34313A"/>
                <w:sz w:val="16"/>
              </w:rPr>
              <w:t>Diagnostics</w:t>
            </w:r>
          </w:p>
        </w:tc>
        <w:tc>
          <w:tcPr>
            <w:tcW w:type="dxa" w:w="3456"/>
            <w:tcMar>
              <w:top w:w="75" w:type="dxa"/>
              <w:start w:w="80" w:type="dxa"/>
              <w:bottom w:w="75" w:type="dxa"/>
              <w:end w:w="80" w:type="dxa"/>
            </w:tcMar>
            <w:vAlign w:val="center"/>
          </w:tcPr>
          <w:p>
            <w:r>
              <w:rPr>
                <w:rFonts w:ascii="Liberation Sans" w:hAnsi="Liberation Sans"/>
                <w:color w:val="34313A"/>
                <w:sz w:val="16"/>
              </w:rPr>
              <w:t>Partner commission / platform fee.</w:t>
            </w:r>
          </w:p>
        </w:tc>
        <w:tc>
          <w:tcPr>
            <w:tcW w:type="dxa" w:w="3816"/>
            <w:tcMar>
              <w:top w:w="75" w:type="dxa"/>
              <w:start w:w="80" w:type="dxa"/>
              <w:bottom w:w="75" w:type="dxa"/>
              <w:end w:w="80" w:type="dxa"/>
            </w:tcMar>
            <w:vAlign w:val="center"/>
          </w:tcPr>
          <w:p>
            <w:r>
              <w:rPr>
                <w:rFonts w:ascii="Liberation Sans" w:hAnsi="Liberation Sans"/>
                <w:color w:val="34313A"/>
                <w:sz w:val="16"/>
              </w:rPr>
              <w:t>Only clinician-ordered or patient-requested services consistent with policy; avoid unnecessary testing incentives.</w:t>
            </w:r>
          </w:p>
        </w:tc>
      </w:tr>
      <w:tr>
        <w:tc>
          <w:tcPr>
            <w:tcW w:type="dxa" w:w="2088"/>
            <w:tcMar>
              <w:top w:w="75" w:type="dxa"/>
              <w:start w:w="80" w:type="dxa"/>
              <w:bottom w:w="75" w:type="dxa"/>
              <w:end w:w="80" w:type="dxa"/>
            </w:tcMar>
            <w:vAlign w:val="center"/>
            <w:shd w:fill="FAF8FB"/>
          </w:tcPr>
          <w:p>
            <w:r>
              <w:rPr>
                <w:rFonts w:ascii="Liberation Sans" w:hAnsi="Liberation Sans"/>
                <w:color w:val="34313A"/>
                <w:sz w:val="16"/>
              </w:rPr>
              <w:t>Medicine fulfilment</w:t>
            </w:r>
          </w:p>
        </w:tc>
        <w:tc>
          <w:tcPr>
            <w:tcW w:type="dxa" w:w="3456"/>
            <w:tcMar>
              <w:top w:w="75" w:type="dxa"/>
              <w:start w:w="80" w:type="dxa"/>
              <w:bottom w:w="75" w:type="dxa"/>
              <w:end w:w="80" w:type="dxa"/>
            </w:tcMar>
            <w:vAlign w:val="center"/>
            <w:shd w:fill="FAF8FB"/>
          </w:tcPr>
          <w:p>
            <w:r>
              <w:rPr>
                <w:rFonts w:ascii="Liberation Sans" w:hAnsi="Liberation Sans"/>
                <w:color w:val="34313A"/>
                <w:sz w:val="16"/>
              </w:rPr>
              <w:t>Marketplace/fulfilment margin or service fee.</w:t>
            </w:r>
          </w:p>
        </w:tc>
        <w:tc>
          <w:tcPr>
            <w:tcW w:type="dxa" w:w="3816"/>
            <w:tcMar>
              <w:top w:w="75" w:type="dxa"/>
              <w:start w:w="80" w:type="dxa"/>
              <w:bottom w:w="75" w:type="dxa"/>
              <w:end w:w="80" w:type="dxa"/>
            </w:tcMar>
            <w:vAlign w:val="center"/>
            <w:shd w:fill="FAF8FB"/>
          </w:tcPr>
          <w:p>
            <w:r>
              <w:rPr>
                <w:rFonts w:ascii="Liberation Sans" w:hAnsi="Liberation Sans"/>
                <w:color w:val="34313A"/>
                <w:sz w:val="16"/>
              </w:rPr>
              <w:t>Prescription integrity, licensed partners, transparent invoice.</w:t>
            </w:r>
          </w:p>
        </w:tc>
      </w:tr>
      <w:tr>
        <w:tc>
          <w:tcPr>
            <w:tcW w:type="dxa" w:w="2088"/>
            <w:tcMar>
              <w:top w:w="75" w:type="dxa"/>
              <w:start w:w="80" w:type="dxa"/>
              <w:bottom w:w="75" w:type="dxa"/>
              <w:end w:w="80" w:type="dxa"/>
            </w:tcMar>
            <w:vAlign w:val="center"/>
          </w:tcPr>
          <w:p>
            <w:r>
              <w:rPr>
                <w:rFonts w:ascii="Liberation Sans" w:hAnsi="Liberation Sans"/>
                <w:color w:val="34313A"/>
                <w:sz w:val="16"/>
              </w:rPr>
              <w:t>Panchakarma</w:t>
            </w:r>
          </w:p>
        </w:tc>
        <w:tc>
          <w:tcPr>
            <w:tcW w:type="dxa" w:w="3456"/>
            <w:tcMar>
              <w:top w:w="75" w:type="dxa"/>
              <w:start w:w="80" w:type="dxa"/>
              <w:bottom w:w="75" w:type="dxa"/>
              <w:end w:w="80" w:type="dxa"/>
            </w:tcMar>
            <w:vAlign w:val="center"/>
          </w:tcPr>
          <w:p>
            <w:r>
              <w:rPr>
                <w:rFonts w:ascii="Liberation Sans" w:hAnsi="Liberation Sans"/>
                <w:color w:val="34313A"/>
                <w:sz w:val="16"/>
              </w:rPr>
              <w:t>Booking/service commission.</w:t>
            </w:r>
          </w:p>
        </w:tc>
        <w:tc>
          <w:tcPr>
            <w:tcW w:type="dxa" w:w="3816"/>
            <w:tcMar>
              <w:top w:w="75" w:type="dxa"/>
              <w:start w:w="80" w:type="dxa"/>
              <w:bottom w:w="75" w:type="dxa"/>
              <w:end w:w="80" w:type="dxa"/>
            </w:tcMar>
            <w:vAlign w:val="center"/>
          </w:tcPr>
          <w:p>
            <w:r>
              <w:rPr>
                <w:rFonts w:ascii="Liberation Sans" w:hAnsi="Liberation Sans"/>
                <w:color w:val="34313A"/>
                <w:sz w:val="16"/>
              </w:rPr>
              <w:t>Clinical suitability and centre capability before commercial ranking.</w:t>
            </w:r>
          </w:p>
        </w:tc>
      </w:tr>
      <w:tr>
        <w:tc>
          <w:tcPr>
            <w:tcW w:type="dxa" w:w="2088"/>
            <w:tcMar>
              <w:top w:w="75" w:type="dxa"/>
              <w:start w:w="80" w:type="dxa"/>
              <w:bottom w:w="75" w:type="dxa"/>
              <w:end w:w="80" w:type="dxa"/>
            </w:tcMar>
            <w:vAlign w:val="center"/>
            <w:shd w:fill="FAF8FB"/>
          </w:tcPr>
          <w:p>
            <w:r>
              <w:rPr>
                <w:rFonts w:ascii="Liberation Sans" w:hAnsi="Liberation Sans"/>
                <w:color w:val="34313A"/>
                <w:sz w:val="16"/>
              </w:rPr>
              <w:t>Care programmes</w:t>
            </w:r>
          </w:p>
        </w:tc>
        <w:tc>
          <w:tcPr>
            <w:tcW w:type="dxa" w:w="3456"/>
            <w:tcMar>
              <w:top w:w="75" w:type="dxa"/>
              <w:start w:w="80" w:type="dxa"/>
              <w:bottom w:w="75" w:type="dxa"/>
              <w:end w:w="80" w:type="dxa"/>
            </w:tcMar>
            <w:vAlign w:val="center"/>
            <w:shd w:fill="FAF8FB"/>
          </w:tcPr>
          <w:p>
            <w:r>
              <w:rPr>
                <w:rFonts w:ascii="Liberation Sans" w:hAnsi="Liberation Sans"/>
                <w:color w:val="34313A"/>
                <w:sz w:val="16"/>
              </w:rPr>
              <w:t>Bundled coordination fee.</w:t>
            </w:r>
          </w:p>
        </w:tc>
        <w:tc>
          <w:tcPr>
            <w:tcW w:type="dxa" w:w="3816"/>
            <w:tcMar>
              <w:top w:w="75" w:type="dxa"/>
              <w:start w:w="80" w:type="dxa"/>
              <w:bottom w:w="75" w:type="dxa"/>
              <w:end w:w="80" w:type="dxa"/>
            </w:tcMar>
            <w:vAlign w:val="center"/>
            <w:shd w:fill="FAF8FB"/>
          </w:tcPr>
          <w:p>
            <w:r>
              <w:rPr>
                <w:rFonts w:ascii="Liberation Sans" w:hAnsi="Liberation Sans"/>
                <w:color w:val="34313A"/>
                <w:sz w:val="16"/>
              </w:rPr>
              <w:t>Separate clinical components and disclose inclusions.</w:t>
            </w:r>
          </w:p>
        </w:tc>
      </w:tr>
      <w:tr>
        <w:tc>
          <w:tcPr>
            <w:tcW w:type="dxa" w:w="2088"/>
            <w:tcMar>
              <w:top w:w="75" w:type="dxa"/>
              <w:start w:w="80" w:type="dxa"/>
              <w:bottom w:w="75" w:type="dxa"/>
              <w:end w:w="80" w:type="dxa"/>
            </w:tcMar>
            <w:vAlign w:val="center"/>
          </w:tcPr>
          <w:p>
            <w:r>
              <w:rPr>
                <w:rFonts w:ascii="Liberation Sans" w:hAnsi="Liberation Sans"/>
                <w:color w:val="34313A"/>
                <w:sz w:val="16"/>
              </w:rPr>
              <w:t>Corporate wellness</w:t>
            </w:r>
          </w:p>
        </w:tc>
        <w:tc>
          <w:tcPr>
            <w:tcW w:type="dxa" w:w="3456"/>
            <w:tcMar>
              <w:top w:w="75" w:type="dxa"/>
              <w:start w:w="80" w:type="dxa"/>
              <w:bottom w:w="75" w:type="dxa"/>
              <w:end w:w="80" w:type="dxa"/>
            </w:tcMar>
            <w:vAlign w:val="center"/>
          </w:tcPr>
          <w:p>
            <w:r>
              <w:rPr>
                <w:rFonts w:ascii="Liberation Sans" w:hAnsi="Liberation Sans"/>
                <w:color w:val="34313A"/>
                <w:sz w:val="16"/>
              </w:rPr>
              <w:t>Employer-sponsored programmes.</w:t>
            </w:r>
          </w:p>
        </w:tc>
        <w:tc>
          <w:tcPr>
            <w:tcW w:type="dxa" w:w="3816"/>
            <w:tcMar>
              <w:top w:w="75" w:type="dxa"/>
              <w:start w:w="80" w:type="dxa"/>
              <w:bottom w:w="75" w:type="dxa"/>
              <w:end w:w="80" w:type="dxa"/>
            </w:tcMar>
            <w:vAlign w:val="center"/>
          </w:tcPr>
          <w:p>
            <w:r>
              <w:rPr>
                <w:rFonts w:ascii="Liberation Sans" w:hAnsi="Liberation Sans"/>
                <w:color w:val="34313A"/>
                <w:sz w:val="16"/>
              </w:rPr>
              <w:t>Explicit employee privacy boundaries; no inappropriate employer access to health data.</w:t>
            </w:r>
          </w:p>
        </w:tc>
      </w:tr>
    </w:tbl>
    <w:p>
      <w:pPr>
        <w:spacing w:after="20"/>
      </w:pPr>
    </w:p>
    <w:p>
      <w:pPr>
        <w:spacing w:before="160" w:after="80"/>
      </w:pPr>
      <w:r>
        <w:rPr>
          <w:rFonts w:ascii="Liberation Sans" w:hAnsi="Liberation Sans"/>
          <w:b/>
          <w:color w:val="2D94C6"/>
          <w:sz w:val="26"/>
        </w:rPr>
        <w:t>Illustrative unit economics to model</w:t>
      </w:r>
    </w:p>
    <w:p>
      <w:pPr>
        <w:pStyle w:val="ListBullet"/>
        <w:spacing w:after="40" w:line="259" w:lineRule="auto"/>
      </w:pPr>
      <w:r>
        <w:rPr>
          <w:rFonts w:ascii="Liberation Sans" w:hAnsi="Liberation Sans"/>
          <w:color w:val="34313A"/>
          <w:sz w:val="19"/>
        </w:rPr>
        <w:t>Customer acquisition cost by channel and city.</w:t>
      </w:r>
    </w:p>
    <w:p>
      <w:pPr>
        <w:pStyle w:val="ListBullet"/>
        <w:spacing w:after="40" w:line="259" w:lineRule="auto"/>
      </w:pPr>
      <w:r>
        <w:rPr>
          <w:rFonts w:ascii="Liberation Sans" w:hAnsi="Liberation Sans"/>
          <w:color w:val="34313A"/>
          <w:sz w:val="19"/>
        </w:rPr>
        <w:t>Consultation conversion and repeat-consultation rate.</w:t>
      </w:r>
    </w:p>
    <w:p>
      <w:pPr>
        <w:pStyle w:val="ListBullet"/>
        <w:spacing w:after="40" w:line="259" w:lineRule="auto"/>
      </w:pPr>
      <w:r>
        <w:rPr>
          <w:rFonts w:ascii="Liberation Sans" w:hAnsi="Liberation Sans"/>
          <w:color w:val="34313A"/>
          <w:sz w:val="19"/>
        </w:rPr>
        <w:t>Care Plan activation rate and average services per plan.</w:t>
      </w:r>
    </w:p>
    <w:p>
      <w:pPr>
        <w:pStyle w:val="ListBullet"/>
        <w:spacing w:after="40" w:line="259" w:lineRule="auto"/>
      </w:pPr>
      <w:r>
        <w:rPr>
          <w:rFonts w:ascii="Liberation Sans" w:hAnsi="Liberation Sans"/>
          <w:color w:val="34313A"/>
          <w:sz w:val="19"/>
        </w:rPr>
        <w:t>Partner take rate and gross margin by service.</w:t>
      </w:r>
    </w:p>
    <w:p>
      <w:pPr>
        <w:pStyle w:val="ListBullet"/>
        <w:spacing w:after="40" w:line="259" w:lineRule="auto"/>
      </w:pPr>
      <w:r>
        <w:rPr>
          <w:rFonts w:ascii="Liberation Sans" w:hAnsi="Liberation Sans"/>
          <w:color w:val="34313A"/>
          <w:sz w:val="19"/>
        </w:rPr>
        <w:t>Refund, cancellation and failed-fulfilment cost.</w:t>
      </w:r>
    </w:p>
    <w:p>
      <w:pPr>
        <w:pStyle w:val="ListBullet"/>
        <w:spacing w:after="40" w:line="259" w:lineRule="auto"/>
      </w:pPr>
      <w:r>
        <w:rPr>
          <w:rFonts w:ascii="Liberation Sans" w:hAnsi="Liberation Sans"/>
          <w:color w:val="34313A"/>
          <w:sz w:val="19"/>
        </w:rPr>
        <w:t>Care coordinator cost per active patient.</w:t>
      </w:r>
    </w:p>
    <w:p>
      <w:pPr>
        <w:pStyle w:val="ListBullet"/>
        <w:spacing w:after="40" w:line="259" w:lineRule="auto"/>
      </w:pPr>
      <w:r>
        <w:rPr>
          <w:rFonts w:ascii="Liberation Sans" w:hAnsi="Liberation Sans"/>
          <w:color w:val="34313A"/>
          <w:sz w:val="19"/>
        </w:rPr>
        <w:t>Doctor SaaS ARPU and churn.</w:t>
      </w:r>
    </w:p>
    <w:p>
      <w:pPr>
        <w:pStyle w:val="ListBullet"/>
        <w:spacing w:after="40" w:line="259" w:lineRule="auto"/>
      </w:pPr>
      <w:r>
        <w:rPr>
          <w:rFonts w:ascii="Liberation Sans" w:hAnsi="Liberation Sans"/>
          <w:color w:val="34313A"/>
          <w:sz w:val="19"/>
        </w:rPr>
        <w:t>Contribution margin after payment, logistics, support and incentives.</w:t>
      </w:r>
    </w:p>
    <w:p>
      <w:pPr>
        <w:spacing w:before="120" w:after="40"/>
      </w:pPr>
      <w:r>
        <w:rPr>
          <w:rFonts w:ascii="Liberation Sans" w:hAnsi="Liberation Sans"/>
          <w:b/>
          <w:color w:val="812A86"/>
          <w:sz w:val="40"/>
        </w:rPr>
        <w:t>18. Reference Technical Architecture</w:t>
      </w:r>
    </w:p>
    <w:p>
      <w:pPr>
        <w:jc w:val="center"/>
      </w:pPr>
      <w:r>
        <w:drawing>
          <wp:inline xmlns:a="http://schemas.openxmlformats.org/drawingml/2006/main" xmlns:pic="http://schemas.openxmlformats.org/drawingml/2006/picture">
            <wp:extent cx="6217920" cy="4080510"/>
            <wp:docPr id="9" name="Picture 9"/>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6217920" cy="4080510"/>
                    </a:xfrm>
                    <a:prstGeom prst="rect"/>
                  </pic:spPr>
                </pic:pic>
              </a:graphicData>
            </a:graphic>
          </wp:inline>
        </w:drawing>
      </w:r>
    </w:p>
    <w:p>
      <w:pPr>
        <w:spacing w:before="160" w:after="80"/>
      </w:pPr>
      <w:r>
        <w:rPr>
          <w:rFonts w:ascii="Liberation Sans" w:hAnsi="Liberation Sans"/>
          <w:b/>
          <w:color w:val="2D94C6"/>
          <w:sz w:val="26"/>
        </w:rPr>
        <w:t>Recommended architecture characteristics</w:t>
      </w:r>
    </w:p>
    <w:p>
      <w:pPr>
        <w:pStyle w:val="ListBullet"/>
        <w:spacing w:after="40" w:line="259" w:lineRule="auto"/>
      </w:pPr>
      <w:r>
        <w:rPr>
          <w:rFonts w:ascii="Liberation Sans" w:hAnsi="Liberation Sans"/>
          <w:color w:val="34313A"/>
          <w:sz w:val="19"/>
        </w:rPr>
        <w:t>API-first and modular; begin as a well-structured modular monolith or limited service set, then split services only where scale/ownership justifies it.</w:t>
      </w:r>
    </w:p>
    <w:p>
      <w:pPr>
        <w:pStyle w:val="ListBullet"/>
        <w:spacing w:after="40" w:line="259" w:lineRule="auto"/>
      </w:pPr>
      <w:r>
        <w:rPr>
          <w:rFonts w:ascii="Liberation Sans" w:hAnsi="Liberation Sans"/>
          <w:color w:val="34313A"/>
          <w:sz w:val="19"/>
        </w:rPr>
        <w:t>Event-driven state changes for bookings, orders, reports, reminders and settlements.</w:t>
      </w:r>
    </w:p>
    <w:p>
      <w:pPr>
        <w:pStyle w:val="ListBullet"/>
        <w:spacing w:after="40" w:line="259" w:lineRule="auto"/>
      </w:pPr>
      <w:r>
        <w:rPr>
          <w:rFonts w:ascii="Liberation Sans" w:hAnsi="Liberation Sans"/>
          <w:color w:val="34313A"/>
          <w:sz w:val="19"/>
        </w:rPr>
        <w:t>Workflow engine for multi-step care orchestration and exception handling.</w:t>
      </w:r>
    </w:p>
    <w:p>
      <w:pPr>
        <w:pStyle w:val="ListBullet"/>
        <w:spacing w:after="40" w:line="259" w:lineRule="auto"/>
      </w:pPr>
      <w:r>
        <w:rPr>
          <w:rFonts w:ascii="Liberation Sans" w:hAnsi="Liberation Sans"/>
          <w:color w:val="34313A"/>
          <w:sz w:val="19"/>
        </w:rPr>
        <w:t>Object storage for signed documents and reports; structured clinical data stored separately.</w:t>
      </w:r>
    </w:p>
    <w:p>
      <w:pPr>
        <w:pStyle w:val="ListBullet"/>
        <w:spacing w:after="40" w:line="259" w:lineRule="auto"/>
      </w:pPr>
      <w:r>
        <w:rPr>
          <w:rFonts w:ascii="Liberation Sans" w:hAnsi="Liberation Sans"/>
          <w:color w:val="34313A"/>
          <w:sz w:val="19"/>
        </w:rPr>
        <w:t>Search index for provider/service discovery; never use search rank as the sole clinical recommendation mechanism.</w:t>
      </w:r>
    </w:p>
    <w:p>
      <w:pPr>
        <w:pStyle w:val="ListBullet"/>
        <w:spacing w:after="40" w:line="259" w:lineRule="auto"/>
      </w:pPr>
      <w:r>
        <w:rPr>
          <w:rFonts w:ascii="Liberation Sans" w:hAnsi="Liberation Sans"/>
          <w:color w:val="34313A"/>
          <w:sz w:val="19"/>
        </w:rPr>
        <w:t>Dedicated audit/event store for sensitive actions.</w:t>
      </w:r>
    </w:p>
    <w:p>
      <w:pPr>
        <w:pStyle w:val="ListBullet"/>
        <w:spacing w:after="40" w:line="259" w:lineRule="auto"/>
      </w:pPr>
      <w:r>
        <w:rPr>
          <w:rFonts w:ascii="Liberation Sans" w:hAnsi="Liberation Sans"/>
          <w:color w:val="34313A"/>
          <w:sz w:val="19"/>
        </w:rPr>
        <w:t>Observability from day one: logs, metrics, traces, synthetic monitoring and business-event monitoring.</w:t>
      </w:r>
    </w:p>
    <w:p>
      <w:pPr>
        <w:pStyle w:val="ListBullet"/>
        <w:spacing w:after="40" w:line="259" w:lineRule="auto"/>
      </w:pPr>
      <w:r>
        <w:rPr>
          <w:rFonts w:ascii="Liberation Sans" w:hAnsi="Liberation Sans"/>
          <w:color w:val="34313A"/>
          <w:sz w:val="19"/>
        </w:rPr>
        <w:t>Zero-trust principles for partner/admin access and environment isolation.</w:t>
      </w:r>
    </w:p>
    <w:p>
      <w:pPr>
        <w:spacing w:before="120" w:after="40"/>
      </w:pPr>
      <w:r>
        <w:rPr>
          <w:rFonts w:ascii="Liberation Sans" w:hAnsi="Liberation Sans"/>
          <w:b/>
          <w:color w:val="812A86"/>
          <w:sz w:val="40"/>
        </w:rPr>
        <w:t>19. Core Data Model &amp; Integrations</w:t>
      </w:r>
    </w:p>
    <w:p>
      <w:pPr>
        <w:spacing w:before="160" w:after="80"/>
      </w:pPr>
      <w:r>
        <w:rPr>
          <w:rFonts w:ascii="Liberation Sans" w:hAnsi="Liberation Sans"/>
          <w:b/>
          <w:color w:val="2D94C6"/>
          <w:sz w:val="26"/>
        </w:rPr>
        <w:t>Core domain entities</w:t>
      </w:r>
    </w:p>
    <w:tbl>
      <w:tblPr>
        <w:tblStyle w:val="TableGrid"/>
        <w:tblW w:type="auto" w:w="0"/>
        <w:jc w:val="center"/>
        <w:tblLook w:firstColumn="1" w:firstRow="1" w:lastColumn="0" w:lastRow="0" w:noHBand="0" w:noVBand="1" w:val="04A0"/>
      </w:tblPr>
      <w:tblGrid>
        <w:gridCol w:w="5040"/>
        <w:gridCol w:w="5040"/>
      </w:tblGrid>
      <w:tr>
        <w:tc>
          <w:tcPr>
            <w:tcW w:type="dxa" w:w="2016"/>
            <w:shd w:fill="812A86"/>
            <w:tcMar>
              <w:top w:w="90" w:type="dxa"/>
              <w:start w:w="90" w:type="dxa"/>
              <w:bottom w:w="90" w:type="dxa"/>
              <w:end w:w="90" w:type="dxa"/>
            </w:tcMar>
            <w:vAlign w:val="center"/>
          </w:tcPr>
          <w:p>
            <w:pPr>
              <w:jc w:val="center"/>
            </w:pPr>
            <w:r>
              <w:rPr>
                <w:rFonts w:ascii="Liberation Sans" w:hAnsi="Liberation Sans"/>
                <w:b/>
                <w:color w:val="FFFFFF"/>
                <w:sz w:val="16"/>
              </w:rPr>
              <w:t>Domain</w:t>
            </w:r>
          </w:p>
        </w:tc>
        <w:tc>
          <w:tcPr>
            <w:tcW w:type="dxa" w:w="7344"/>
            <w:shd w:fill="812A86"/>
            <w:tcMar>
              <w:top w:w="90" w:type="dxa"/>
              <w:start w:w="90" w:type="dxa"/>
              <w:bottom w:w="90" w:type="dxa"/>
              <w:end w:w="90" w:type="dxa"/>
            </w:tcMar>
            <w:vAlign w:val="center"/>
          </w:tcPr>
          <w:p>
            <w:pPr>
              <w:jc w:val="center"/>
            </w:pPr>
            <w:r>
              <w:rPr>
                <w:rFonts w:ascii="Liberation Sans" w:hAnsi="Liberation Sans"/>
                <w:b/>
                <w:color w:val="FFFFFF"/>
                <w:sz w:val="16"/>
              </w:rPr>
              <w:t>Key entities</w:t>
            </w:r>
          </w:p>
        </w:tc>
      </w:tr>
      <w:tr>
        <w:tc>
          <w:tcPr>
            <w:tcW w:type="dxa" w:w="2016"/>
            <w:tcMar>
              <w:top w:w="75" w:type="dxa"/>
              <w:start w:w="80" w:type="dxa"/>
              <w:bottom w:w="75" w:type="dxa"/>
              <w:end w:w="80" w:type="dxa"/>
            </w:tcMar>
            <w:vAlign w:val="center"/>
          </w:tcPr>
          <w:p>
            <w:r>
              <w:rPr>
                <w:rFonts w:ascii="Liberation Sans" w:hAnsi="Liberation Sans"/>
                <w:color w:val="34313A"/>
                <w:sz w:val="16"/>
              </w:rPr>
              <w:t>Identity</w:t>
            </w:r>
          </w:p>
        </w:tc>
        <w:tc>
          <w:tcPr>
            <w:tcW w:type="dxa" w:w="7344"/>
            <w:tcMar>
              <w:top w:w="75" w:type="dxa"/>
              <w:start w:w="80" w:type="dxa"/>
              <w:bottom w:w="75" w:type="dxa"/>
              <w:end w:w="80" w:type="dxa"/>
            </w:tcMar>
            <w:vAlign w:val="center"/>
          </w:tcPr>
          <w:p>
            <w:r>
              <w:rPr>
                <w:rFonts w:ascii="Liberation Sans" w:hAnsi="Liberation Sans"/>
                <w:color w:val="34313A"/>
                <w:sz w:val="16"/>
              </w:rPr>
              <w:t>User, Patient, FamilyMember, Practitioner, StaffUser, Organisation, Role, Consent.</w:t>
            </w:r>
          </w:p>
        </w:tc>
      </w:tr>
      <w:tr>
        <w:tc>
          <w:tcPr>
            <w:tcW w:type="dxa" w:w="2016"/>
            <w:tcMar>
              <w:top w:w="75" w:type="dxa"/>
              <w:start w:w="80" w:type="dxa"/>
              <w:bottom w:w="75" w:type="dxa"/>
              <w:end w:w="80" w:type="dxa"/>
            </w:tcMar>
            <w:vAlign w:val="center"/>
            <w:shd w:fill="FAF8FB"/>
          </w:tcPr>
          <w:p>
            <w:r>
              <w:rPr>
                <w:rFonts w:ascii="Liberation Sans" w:hAnsi="Liberation Sans"/>
                <w:color w:val="34313A"/>
                <w:sz w:val="16"/>
              </w:rPr>
              <w:t>Provider network</w:t>
            </w:r>
          </w:p>
        </w:tc>
        <w:tc>
          <w:tcPr>
            <w:tcW w:type="dxa" w:w="7344"/>
            <w:tcMar>
              <w:top w:w="75" w:type="dxa"/>
              <w:start w:w="80" w:type="dxa"/>
              <w:bottom w:w="75" w:type="dxa"/>
              <w:end w:w="80" w:type="dxa"/>
            </w:tcMar>
            <w:vAlign w:val="center"/>
            <w:shd w:fill="FAF8FB"/>
          </w:tcPr>
          <w:p>
            <w:r>
              <w:rPr>
                <w:rFonts w:ascii="Liberation Sans" w:hAnsi="Liberation Sans"/>
                <w:color w:val="34313A"/>
                <w:sz w:val="16"/>
              </w:rPr>
              <w:t>PractitionerProfile, Facility, Service, Location, Credential, Verification, Availability.</w:t>
            </w:r>
          </w:p>
        </w:tc>
      </w:tr>
      <w:tr>
        <w:tc>
          <w:tcPr>
            <w:tcW w:type="dxa" w:w="2016"/>
            <w:tcMar>
              <w:top w:w="75" w:type="dxa"/>
              <w:start w:w="80" w:type="dxa"/>
              <w:bottom w:w="75" w:type="dxa"/>
              <w:end w:w="80" w:type="dxa"/>
            </w:tcMar>
            <w:vAlign w:val="center"/>
          </w:tcPr>
          <w:p>
            <w:r>
              <w:rPr>
                <w:rFonts w:ascii="Liberation Sans" w:hAnsi="Liberation Sans"/>
                <w:color w:val="34313A"/>
                <w:sz w:val="16"/>
              </w:rPr>
              <w:t>Clinical</w:t>
            </w:r>
          </w:p>
        </w:tc>
        <w:tc>
          <w:tcPr>
            <w:tcW w:type="dxa" w:w="7344"/>
            <w:tcMar>
              <w:top w:w="75" w:type="dxa"/>
              <w:start w:w="80" w:type="dxa"/>
              <w:bottom w:w="75" w:type="dxa"/>
              <w:end w:w="80" w:type="dxa"/>
            </w:tcMar>
            <w:vAlign w:val="center"/>
          </w:tcPr>
          <w:p>
            <w:r>
              <w:rPr>
                <w:rFonts w:ascii="Liberation Sans" w:hAnsi="Liberation Sans"/>
                <w:color w:val="34313A"/>
                <w:sz w:val="16"/>
              </w:rPr>
              <w:t>Encounter, ClinicalNote, Assessment, Prescription, CarePlan, Goal, Intervention, Task, Outcome.</w:t>
            </w:r>
          </w:p>
        </w:tc>
      </w:tr>
      <w:tr>
        <w:tc>
          <w:tcPr>
            <w:tcW w:type="dxa" w:w="2016"/>
            <w:tcMar>
              <w:top w:w="75" w:type="dxa"/>
              <w:start w:w="80" w:type="dxa"/>
              <w:bottom w:w="75" w:type="dxa"/>
              <w:end w:w="80" w:type="dxa"/>
            </w:tcMar>
            <w:vAlign w:val="center"/>
            <w:shd w:fill="FAF8FB"/>
          </w:tcPr>
          <w:p>
            <w:r>
              <w:rPr>
                <w:rFonts w:ascii="Liberation Sans" w:hAnsi="Liberation Sans"/>
                <w:color w:val="34313A"/>
                <w:sz w:val="16"/>
              </w:rPr>
              <w:t>Diagnostics</w:t>
            </w:r>
          </w:p>
        </w:tc>
        <w:tc>
          <w:tcPr>
            <w:tcW w:type="dxa" w:w="7344"/>
            <w:tcMar>
              <w:top w:w="75" w:type="dxa"/>
              <w:start w:w="80" w:type="dxa"/>
              <w:bottom w:w="75" w:type="dxa"/>
              <w:end w:w="80" w:type="dxa"/>
            </w:tcMar>
            <w:vAlign w:val="center"/>
            <w:shd w:fill="FAF8FB"/>
          </w:tcPr>
          <w:p>
            <w:r>
              <w:rPr>
                <w:rFonts w:ascii="Liberation Sans" w:hAnsi="Liberation Sans"/>
                <w:color w:val="34313A"/>
                <w:sz w:val="16"/>
              </w:rPr>
              <w:t>DiagnosticOrder, TestItem, LabBooking, SpecimenStatus, DiagnosticReport.</w:t>
            </w:r>
          </w:p>
        </w:tc>
      </w:tr>
      <w:tr>
        <w:tc>
          <w:tcPr>
            <w:tcW w:type="dxa" w:w="2016"/>
            <w:tcMar>
              <w:top w:w="75" w:type="dxa"/>
              <w:start w:w="80" w:type="dxa"/>
              <w:bottom w:w="75" w:type="dxa"/>
              <w:end w:w="80" w:type="dxa"/>
            </w:tcMar>
            <w:vAlign w:val="center"/>
          </w:tcPr>
          <w:p>
            <w:r>
              <w:rPr>
                <w:rFonts w:ascii="Liberation Sans" w:hAnsi="Liberation Sans"/>
                <w:color w:val="34313A"/>
                <w:sz w:val="16"/>
              </w:rPr>
              <w:t>Therapy</w:t>
            </w:r>
          </w:p>
        </w:tc>
        <w:tc>
          <w:tcPr>
            <w:tcW w:type="dxa" w:w="7344"/>
            <w:tcMar>
              <w:top w:w="75" w:type="dxa"/>
              <w:start w:w="80" w:type="dxa"/>
              <w:bottom w:w="75" w:type="dxa"/>
              <w:end w:w="80" w:type="dxa"/>
            </w:tcMar>
            <w:vAlign w:val="center"/>
          </w:tcPr>
          <w:p>
            <w:r>
              <w:rPr>
                <w:rFonts w:ascii="Liberation Sans" w:hAnsi="Liberation Sans"/>
                <w:color w:val="34313A"/>
                <w:sz w:val="16"/>
              </w:rPr>
              <w:t>TherapyReferral, TherapyCourse, Session, Therapist, SessionNote, Incident.</w:t>
            </w:r>
          </w:p>
        </w:tc>
      </w:tr>
      <w:tr>
        <w:tc>
          <w:tcPr>
            <w:tcW w:type="dxa" w:w="2016"/>
            <w:tcMar>
              <w:top w:w="75" w:type="dxa"/>
              <w:start w:w="80" w:type="dxa"/>
              <w:bottom w:w="75" w:type="dxa"/>
              <w:end w:w="80" w:type="dxa"/>
            </w:tcMar>
            <w:vAlign w:val="center"/>
            <w:shd w:fill="FAF8FB"/>
          </w:tcPr>
          <w:p>
            <w:r>
              <w:rPr>
                <w:rFonts w:ascii="Liberation Sans" w:hAnsi="Liberation Sans"/>
                <w:color w:val="34313A"/>
                <w:sz w:val="16"/>
              </w:rPr>
              <w:t>Commerce</w:t>
            </w:r>
          </w:p>
        </w:tc>
        <w:tc>
          <w:tcPr>
            <w:tcW w:type="dxa" w:w="7344"/>
            <w:tcMar>
              <w:top w:w="75" w:type="dxa"/>
              <w:start w:w="80" w:type="dxa"/>
              <w:bottom w:w="75" w:type="dxa"/>
              <w:end w:w="80" w:type="dxa"/>
            </w:tcMar>
            <w:vAlign w:val="center"/>
            <w:shd w:fill="FAF8FB"/>
          </w:tcPr>
          <w:p>
            <w:r>
              <w:rPr>
                <w:rFonts w:ascii="Liberation Sans" w:hAnsi="Liberation Sans"/>
                <w:color w:val="34313A"/>
                <w:sz w:val="16"/>
              </w:rPr>
              <w:t>MedicineOrder, OrderItem, InventoryOffer, Invoice, Shipment, Return, Refund.</w:t>
            </w:r>
          </w:p>
        </w:tc>
      </w:tr>
      <w:tr>
        <w:tc>
          <w:tcPr>
            <w:tcW w:type="dxa" w:w="2016"/>
            <w:tcMar>
              <w:top w:w="75" w:type="dxa"/>
              <w:start w:w="80" w:type="dxa"/>
              <w:bottom w:w="75" w:type="dxa"/>
              <w:end w:w="80" w:type="dxa"/>
            </w:tcMar>
            <w:vAlign w:val="center"/>
          </w:tcPr>
          <w:p>
            <w:r>
              <w:rPr>
                <w:rFonts w:ascii="Liberation Sans" w:hAnsi="Liberation Sans"/>
                <w:color w:val="34313A"/>
                <w:sz w:val="16"/>
              </w:rPr>
              <w:t>Payments</w:t>
            </w:r>
          </w:p>
        </w:tc>
        <w:tc>
          <w:tcPr>
            <w:tcW w:type="dxa" w:w="7344"/>
            <w:tcMar>
              <w:top w:w="75" w:type="dxa"/>
              <w:start w:w="80" w:type="dxa"/>
              <w:bottom w:w="75" w:type="dxa"/>
              <w:end w:w="80" w:type="dxa"/>
            </w:tcMar>
            <w:vAlign w:val="center"/>
          </w:tcPr>
          <w:p>
            <w:r>
              <w:rPr>
                <w:rFonts w:ascii="Liberation Sans" w:hAnsi="Liberation Sans"/>
                <w:color w:val="34313A"/>
                <w:sz w:val="16"/>
              </w:rPr>
              <w:t>Payment, Fee, Commission, Payout, Settlement, Reconciliation.</w:t>
            </w:r>
          </w:p>
        </w:tc>
      </w:tr>
      <w:tr>
        <w:tc>
          <w:tcPr>
            <w:tcW w:type="dxa" w:w="2016"/>
            <w:tcMar>
              <w:top w:w="75" w:type="dxa"/>
              <w:start w:w="80" w:type="dxa"/>
              <w:bottom w:w="75" w:type="dxa"/>
              <w:end w:w="80" w:type="dxa"/>
            </w:tcMar>
            <w:vAlign w:val="center"/>
            <w:shd w:fill="FAF8FB"/>
          </w:tcPr>
          <w:p>
            <w:r>
              <w:rPr>
                <w:rFonts w:ascii="Liberation Sans" w:hAnsi="Liberation Sans"/>
                <w:color w:val="34313A"/>
                <w:sz w:val="16"/>
              </w:rPr>
              <w:t>Operations</w:t>
            </w:r>
          </w:p>
        </w:tc>
        <w:tc>
          <w:tcPr>
            <w:tcW w:type="dxa" w:w="7344"/>
            <w:tcMar>
              <w:top w:w="75" w:type="dxa"/>
              <w:start w:w="80" w:type="dxa"/>
              <w:bottom w:w="75" w:type="dxa"/>
              <w:end w:w="80" w:type="dxa"/>
            </w:tcMar>
            <w:vAlign w:val="center"/>
            <w:shd w:fill="FAF8FB"/>
          </w:tcPr>
          <w:p>
            <w:r>
              <w:rPr>
                <w:rFonts w:ascii="Liberation Sans" w:hAnsi="Liberation Sans"/>
                <w:color w:val="34313A"/>
                <w:sz w:val="16"/>
              </w:rPr>
              <w:t>Case, Complaint, SafetyEvent, SLAEvent, Notification, AuditEvent.</w:t>
            </w:r>
          </w:p>
        </w:tc>
      </w:tr>
    </w:tbl>
    <w:p>
      <w:pPr>
        <w:spacing w:after="20"/>
      </w:pPr>
    </w:p>
    <w:p>
      <w:pPr>
        <w:spacing w:before="160" w:after="80"/>
      </w:pPr>
      <w:r>
        <w:rPr>
          <w:rFonts w:ascii="Liberation Sans" w:hAnsi="Liberation Sans"/>
          <w:b/>
          <w:color w:val="2D94C6"/>
          <w:sz w:val="26"/>
        </w:rPr>
        <w:t>Likely integrations</w:t>
      </w:r>
    </w:p>
    <w:p>
      <w:pPr>
        <w:pStyle w:val="ListBullet"/>
        <w:spacing w:after="40" w:line="259" w:lineRule="auto"/>
      </w:pPr>
      <w:r>
        <w:rPr>
          <w:rFonts w:ascii="Liberation Sans" w:hAnsi="Liberation Sans"/>
          <w:color w:val="34313A"/>
          <w:sz w:val="19"/>
        </w:rPr>
        <w:t>ABDM/ABHA/HPR/HFR integrations subject to approved onboarding and technical requirements.</w:t>
      </w:r>
    </w:p>
    <w:p>
      <w:pPr>
        <w:pStyle w:val="ListBullet"/>
        <w:spacing w:after="40" w:line="259" w:lineRule="auto"/>
      </w:pPr>
      <w:r>
        <w:rPr>
          <w:rFonts w:ascii="Liberation Sans" w:hAnsi="Liberation Sans"/>
          <w:color w:val="34313A"/>
          <w:sz w:val="19"/>
        </w:rPr>
        <w:t>Video consultation provider or WebRTC service.</w:t>
      </w:r>
    </w:p>
    <w:p>
      <w:pPr>
        <w:pStyle w:val="ListBullet"/>
        <w:spacing w:after="40" w:line="259" w:lineRule="auto"/>
      </w:pPr>
      <w:r>
        <w:rPr>
          <w:rFonts w:ascii="Liberation Sans" w:hAnsi="Liberation Sans"/>
          <w:color w:val="34313A"/>
          <w:sz w:val="19"/>
        </w:rPr>
        <w:t>Payment gateway and payout/settlement provider.</w:t>
      </w:r>
    </w:p>
    <w:p>
      <w:pPr>
        <w:pStyle w:val="ListBullet"/>
        <w:spacing w:after="40" w:line="259" w:lineRule="auto"/>
      </w:pPr>
      <w:r>
        <w:rPr>
          <w:rFonts w:ascii="Liberation Sans" w:hAnsi="Liberation Sans"/>
          <w:color w:val="34313A"/>
          <w:sz w:val="19"/>
        </w:rPr>
        <w:t>SMS, email and WhatsApp messaging providers with consent/template governance.</w:t>
      </w:r>
    </w:p>
    <w:p>
      <w:pPr>
        <w:pStyle w:val="ListBullet"/>
        <w:spacing w:after="40" w:line="259" w:lineRule="auto"/>
      </w:pPr>
      <w:r>
        <w:rPr>
          <w:rFonts w:ascii="Liberation Sans" w:hAnsi="Liberation Sans"/>
          <w:color w:val="34313A"/>
          <w:sz w:val="19"/>
        </w:rPr>
        <w:t>Logistics aggregators for medicine delivery.</w:t>
      </w:r>
    </w:p>
    <w:p>
      <w:pPr>
        <w:pStyle w:val="ListBullet"/>
        <w:spacing w:after="40" w:line="259" w:lineRule="auto"/>
      </w:pPr>
      <w:r>
        <w:rPr>
          <w:rFonts w:ascii="Liberation Sans" w:hAnsi="Liberation Sans"/>
          <w:color w:val="34313A"/>
          <w:sz w:val="19"/>
        </w:rPr>
        <w:t>Diagnostic lab APIs or secure report exchange.</w:t>
      </w:r>
    </w:p>
    <w:p>
      <w:pPr>
        <w:pStyle w:val="ListBullet"/>
        <w:spacing w:after="40" w:line="259" w:lineRule="auto"/>
      </w:pPr>
      <w:r>
        <w:rPr>
          <w:rFonts w:ascii="Liberation Sans" w:hAnsi="Liberation Sans"/>
          <w:color w:val="34313A"/>
          <w:sz w:val="19"/>
        </w:rPr>
        <w:t>Maps/geocoding for service areas and clinic discovery.</w:t>
      </w:r>
    </w:p>
    <w:p>
      <w:pPr>
        <w:pStyle w:val="ListBullet"/>
        <w:spacing w:after="40" w:line="259" w:lineRule="auto"/>
      </w:pPr>
      <w:r>
        <w:rPr>
          <w:rFonts w:ascii="Liberation Sans" w:hAnsi="Liberation Sans"/>
          <w:color w:val="34313A"/>
          <w:sz w:val="19"/>
        </w:rPr>
        <w:t>KYC/identity and document-verification services where legally and contractually appropriate.</w:t>
      </w:r>
    </w:p>
    <w:p>
      <w:pPr>
        <w:pStyle w:val="ListBullet"/>
        <w:spacing w:after="40" w:line="259" w:lineRule="auto"/>
      </w:pPr>
      <w:r>
        <w:rPr>
          <w:rFonts w:ascii="Liberation Sans" w:hAnsi="Liberation Sans"/>
          <w:color w:val="34313A"/>
          <w:sz w:val="19"/>
        </w:rPr>
        <w:t>Accounting/tax systems for partner reconciliation.</w:t>
      </w:r>
    </w:p>
    <w:p>
      <w:pPr>
        <w:spacing w:before="120" w:after="40"/>
      </w:pPr>
      <w:r>
        <w:rPr>
          <w:rFonts w:ascii="Liberation Sans" w:hAnsi="Liberation Sans"/>
          <w:b/>
          <w:color w:val="812A86"/>
          <w:sz w:val="40"/>
        </w:rPr>
        <w:t>20. MVP &amp; Release Roadmap</w:t>
      </w:r>
    </w:p>
    <w:p>
      <w:pPr>
        <w:spacing w:after="180"/>
      </w:pPr>
      <w:r>
        <w:rPr>
          <w:rFonts w:ascii="Liberation Sans" w:hAnsi="Liberation Sans"/>
          <w:color w:val="6B6470"/>
          <w:sz w:val="19"/>
        </w:rPr>
        <w:t>Validate the care journey before building the full marketplace.</w:t>
      </w:r>
    </w:p>
    <w:tbl>
      <w:tblPr>
        <w:tblStyle w:val="TableGrid"/>
        <w:tblW w:type="auto" w:w="0"/>
        <w:jc w:val="center"/>
        <w:tblLook w:firstColumn="1" w:firstRow="1" w:lastColumn="0" w:lastRow="0" w:noHBand="0" w:noVBand="1" w:val="04A0"/>
      </w:tblPr>
      <w:tblGrid>
        <w:gridCol w:w="3360"/>
        <w:gridCol w:w="3360"/>
        <w:gridCol w:w="3360"/>
      </w:tblGrid>
      <w:tr>
        <w:tc>
          <w:tcPr>
            <w:tcW w:type="dxa" w:w="1512"/>
            <w:shd w:fill="812A86"/>
            <w:tcMar>
              <w:top w:w="90" w:type="dxa"/>
              <w:start w:w="90" w:type="dxa"/>
              <w:bottom w:w="90" w:type="dxa"/>
              <w:end w:w="90" w:type="dxa"/>
            </w:tcMar>
            <w:vAlign w:val="center"/>
          </w:tcPr>
          <w:p>
            <w:pPr>
              <w:jc w:val="center"/>
            </w:pPr>
            <w:r>
              <w:rPr>
                <w:rFonts w:ascii="Liberation Sans" w:hAnsi="Liberation Sans"/>
                <w:b/>
                <w:color w:val="FFFFFF"/>
                <w:sz w:val="15"/>
              </w:rPr>
              <w:t>Phase</w:t>
            </w:r>
          </w:p>
        </w:tc>
        <w:tc>
          <w:tcPr>
            <w:tcW w:type="dxa" w:w="5040"/>
            <w:shd w:fill="812A86"/>
            <w:tcMar>
              <w:top w:w="90" w:type="dxa"/>
              <w:start w:w="90" w:type="dxa"/>
              <w:bottom w:w="90" w:type="dxa"/>
              <w:end w:w="90" w:type="dxa"/>
            </w:tcMar>
            <w:vAlign w:val="center"/>
          </w:tcPr>
          <w:p>
            <w:pPr>
              <w:jc w:val="center"/>
            </w:pPr>
            <w:r>
              <w:rPr>
                <w:rFonts w:ascii="Liberation Sans" w:hAnsi="Liberation Sans"/>
                <w:b/>
                <w:color w:val="FFFFFF"/>
                <w:sz w:val="15"/>
              </w:rPr>
              <w:t>Scope</w:t>
            </w:r>
          </w:p>
        </w:tc>
        <w:tc>
          <w:tcPr>
            <w:tcW w:type="dxa" w:w="2880"/>
            <w:shd w:fill="812A86"/>
            <w:tcMar>
              <w:top w:w="90" w:type="dxa"/>
              <w:start w:w="90" w:type="dxa"/>
              <w:bottom w:w="90" w:type="dxa"/>
              <w:end w:w="90" w:type="dxa"/>
            </w:tcMar>
            <w:vAlign w:val="center"/>
          </w:tcPr>
          <w:p>
            <w:pPr>
              <w:jc w:val="center"/>
            </w:pPr>
            <w:r>
              <w:rPr>
                <w:rFonts w:ascii="Liberation Sans" w:hAnsi="Liberation Sans"/>
                <w:b/>
                <w:color w:val="FFFFFF"/>
                <w:sz w:val="15"/>
              </w:rPr>
              <w:t>Exit criteria</w:t>
            </w:r>
          </w:p>
        </w:tc>
      </w:tr>
      <w:tr>
        <w:tc>
          <w:tcPr>
            <w:tcW w:type="dxa" w:w="1512"/>
            <w:tcMar>
              <w:top w:w="75" w:type="dxa"/>
              <w:start w:w="80" w:type="dxa"/>
              <w:bottom w:w="75" w:type="dxa"/>
              <w:end w:w="80" w:type="dxa"/>
            </w:tcMar>
            <w:vAlign w:val="center"/>
          </w:tcPr>
          <w:p>
            <w:r>
              <w:rPr>
                <w:rFonts w:ascii="Liberation Sans" w:hAnsi="Liberation Sans"/>
                <w:color w:val="34313A"/>
                <w:sz w:val="15"/>
              </w:rPr>
              <w:t>0 - Discovery</w:t>
            </w:r>
          </w:p>
        </w:tc>
        <w:tc>
          <w:tcPr>
            <w:tcW w:type="dxa" w:w="5040"/>
            <w:tcMar>
              <w:top w:w="75" w:type="dxa"/>
              <w:start w:w="80" w:type="dxa"/>
              <w:bottom w:w="75" w:type="dxa"/>
              <w:end w:w="80" w:type="dxa"/>
            </w:tcMar>
            <w:vAlign w:val="center"/>
          </w:tcPr>
          <w:p>
            <w:r>
              <w:rPr>
                <w:rFonts w:ascii="Liberation Sans" w:hAnsi="Liberation Sans"/>
                <w:color w:val="34313A"/>
                <w:sz w:val="15"/>
              </w:rPr>
              <w:t>Clinical advisory board, partner interviews, legal/compliance mapping, clickable UX prototype, pilot-city economics.</w:t>
            </w:r>
          </w:p>
        </w:tc>
        <w:tc>
          <w:tcPr>
            <w:tcW w:type="dxa" w:w="2880"/>
            <w:tcMar>
              <w:top w:w="75" w:type="dxa"/>
              <w:start w:w="80" w:type="dxa"/>
              <w:bottom w:w="75" w:type="dxa"/>
              <w:end w:w="80" w:type="dxa"/>
            </w:tcMar>
            <w:vAlign w:val="center"/>
          </w:tcPr>
          <w:p>
            <w:r>
              <w:rPr>
                <w:rFonts w:ascii="Liberation Sans" w:hAnsi="Liberation Sans"/>
                <w:color w:val="34313A"/>
                <w:sz w:val="15"/>
              </w:rPr>
              <w:t>Validated workflows, signed pilot partners, risk register, measurable hypotheses.</w:t>
            </w:r>
          </w:p>
        </w:tc>
      </w:tr>
      <w:tr>
        <w:tc>
          <w:tcPr>
            <w:tcW w:type="dxa" w:w="1512"/>
            <w:tcMar>
              <w:top w:w="75" w:type="dxa"/>
              <w:start w:w="80" w:type="dxa"/>
              <w:bottom w:w="75" w:type="dxa"/>
              <w:end w:w="80" w:type="dxa"/>
            </w:tcMar>
            <w:vAlign w:val="center"/>
            <w:shd w:fill="FAF8FB"/>
          </w:tcPr>
          <w:p>
            <w:r>
              <w:rPr>
                <w:rFonts w:ascii="Liberation Sans" w:hAnsi="Liberation Sans"/>
                <w:color w:val="34313A"/>
                <w:sz w:val="15"/>
              </w:rPr>
              <w:t>1 - Core care</w:t>
            </w:r>
          </w:p>
        </w:tc>
        <w:tc>
          <w:tcPr>
            <w:tcW w:type="dxa" w:w="5040"/>
            <w:tcMar>
              <w:top w:w="75" w:type="dxa"/>
              <w:start w:w="80" w:type="dxa"/>
              <w:bottom w:w="75" w:type="dxa"/>
              <w:end w:w="80" w:type="dxa"/>
            </w:tcMar>
            <w:vAlign w:val="center"/>
            <w:shd w:fill="FAF8FB"/>
          </w:tcPr>
          <w:p>
            <w:r>
              <w:rPr>
                <w:rFonts w:ascii="Liberation Sans" w:hAnsi="Liberation Sans"/>
                <w:color w:val="34313A"/>
                <w:sz w:val="15"/>
              </w:rPr>
              <w:t>Patient app/web, doctor portal, credential review, appointments, video/clinic consultation, records, prescription, simple Care Plan, payments, admin.</w:t>
            </w:r>
          </w:p>
        </w:tc>
        <w:tc>
          <w:tcPr>
            <w:tcW w:type="dxa" w:w="2880"/>
            <w:tcMar>
              <w:top w:w="75" w:type="dxa"/>
              <w:start w:w="80" w:type="dxa"/>
              <w:bottom w:w="75" w:type="dxa"/>
              <w:end w:w="80" w:type="dxa"/>
            </w:tcMar>
            <w:vAlign w:val="center"/>
            <w:shd w:fill="FAF8FB"/>
          </w:tcPr>
          <w:p>
            <w:r>
              <w:rPr>
                <w:rFonts w:ascii="Liberation Sans" w:hAnsi="Liberation Sans"/>
                <w:color w:val="34313A"/>
                <w:sz w:val="15"/>
              </w:rPr>
              <w:t>Successful consultations, follow-up completion, stable support operations.</w:t>
            </w:r>
          </w:p>
        </w:tc>
      </w:tr>
      <w:tr>
        <w:tc>
          <w:tcPr>
            <w:tcW w:type="dxa" w:w="1512"/>
            <w:tcMar>
              <w:top w:w="75" w:type="dxa"/>
              <w:start w:w="80" w:type="dxa"/>
              <w:bottom w:w="75" w:type="dxa"/>
              <w:end w:w="80" w:type="dxa"/>
            </w:tcMar>
            <w:vAlign w:val="center"/>
          </w:tcPr>
          <w:p>
            <w:r>
              <w:rPr>
                <w:rFonts w:ascii="Liberation Sans" w:hAnsi="Liberation Sans"/>
                <w:color w:val="34313A"/>
                <w:sz w:val="15"/>
              </w:rPr>
              <w:t>2 - Medicine</w:t>
            </w:r>
          </w:p>
        </w:tc>
        <w:tc>
          <w:tcPr>
            <w:tcW w:type="dxa" w:w="5040"/>
            <w:tcMar>
              <w:top w:w="75" w:type="dxa"/>
              <w:start w:w="80" w:type="dxa"/>
              <w:bottom w:w="75" w:type="dxa"/>
              <w:end w:w="80" w:type="dxa"/>
            </w:tcMar>
            <w:vAlign w:val="center"/>
          </w:tcPr>
          <w:p>
            <w:r>
              <w:rPr>
                <w:rFonts w:ascii="Liberation Sans" w:hAnsi="Liberation Sans"/>
                <w:color w:val="34313A"/>
                <w:sz w:val="15"/>
              </w:rPr>
              <w:t>Licensed fulfilment partners, prescription-linked ordering, invoicing, delivery tracking, refunds/reconciliation.</w:t>
            </w:r>
          </w:p>
        </w:tc>
        <w:tc>
          <w:tcPr>
            <w:tcW w:type="dxa" w:w="2880"/>
            <w:tcMar>
              <w:top w:w="75" w:type="dxa"/>
              <w:start w:w="80" w:type="dxa"/>
              <w:bottom w:w="75" w:type="dxa"/>
              <w:end w:w="80" w:type="dxa"/>
            </w:tcMar>
            <w:vAlign w:val="center"/>
          </w:tcPr>
          <w:p>
            <w:r>
              <w:rPr>
                <w:rFonts w:ascii="Liberation Sans" w:hAnsi="Liberation Sans"/>
                <w:color w:val="34313A"/>
                <w:sz w:val="15"/>
              </w:rPr>
              <w:t>Reliable fulfilment SLA and acceptable refund/complaint rate.</w:t>
            </w:r>
          </w:p>
        </w:tc>
      </w:tr>
      <w:tr>
        <w:tc>
          <w:tcPr>
            <w:tcW w:type="dxa" w:w="1512"/>
            <w:tcMar>
              <w:top w:w="75" w:type="dxa"/>
              <w:start w:w="80" w:type="dxa"/>
              <w:bottom w:w="75" w:type="dxa"/>
              <w:end w:w="80" w:type="dxa"/>
            </w:tcMar>
            <w:vAlign w:val="center"/>
            <w:shd w:fill="FAF8FB"/>
          </w:tcPr>
          <w:p>
            <w:r>
              <w:rPr>
                <w:rFonts w:ascii="Liberation Sans" w:hAnsi="Liberation Sans"/>
                <w:color w:val="34313A"/>
                <w:sz w:val="15"/>
              </w:rPr>
              <w:t>3 - Diagnostics</w:t>
            </w:r>
          </w:p>
        </w:tc>
        <w:tc>
          <w:tcPr>
            <w:tcW w:type="dxa" w:w="5040"/>
            <w:tcMar>
              <w:top w:w="75" w:type="dxa"/>
              <w:start w:w="80" w:type="dxa"/>
              <w:bottom w:w="75" w:type="dxa"/>
              <w:end w:w="80" w:type="dxa"/>
            </w:tcMar>
            <w:vAlign w:val="center"/>
            <w:shd w:fill="FAF8FB"/>
          </w:tcPr>
          <w:p>
            <w:r>
              <w:rPr>
                <w:rFonts w:ascii="Liberation Sans" w:hAnsi="Liberation Sans"/>
                <w:color w:val="34313A"/>
                <w:sz w:val="15"/>
              </w:rPr>
              <w:t>Clinician orders, lab booking, collection status, report upload/API and practitioner review.</w:t>
            </w:r>
          </w:p>
        </w:tc>
        <w:tc>
          <w:tcPr>
            <w:tcW w:type="dxa" w:w="2880"/>
            <w:tcMar>
              <w:top w:w="75" w:type="dxa"/>
              <w:start w:w="80" w:type="dxa"/>
              <w:bottom w:w="75" w:type="dxa"/>
              <w:end w:w="80" w:type="dxa"/>
            </w:tcMar>
            <w:vAlign w:val="center"/>
            <w:shd w:fill="FAF8FB"/>
          </w:tcPr>
          <w:p>
            <w:r>
              <w:rPr>
                <w:rFonts w:ascii="Liberation Sans" w:hAnsi="Liberation Sans"/>
                <w:color w:val="34313A"/>
                <w:sz w:val="15"/>
              </w:rPr>
              <w:t>End-to-end report turnaround and record integration validated.</w:t>
            </w:r>
          </w:p>
        </w:tc>
      </w:tr>
      <w:tr>
        <w:tc>
          <w:tcPr>
            <w:tcW w:type="dxa" w:w="1512"/>
            <w:tcMar>
              <w:top w:w="75" w:type="dxa"/>
              <w:start w:w="80" w:type="dxa"/>
              <w:bottom w:w="75" w:type="dxa"/>
              <w:end w:w="80" w:type="dxa"/>
            </w:tcMar>
            <w:vAlign w:val="center"/>
          </w:tcPr>
          <w:p>
            <w:r>
              <w:rPr>
                <w:rFonts w:ascii="Liberation Sans" w:hAnsi="Liberation Sans"/>
                <w:color w:val="34313A"/>
                <w:sz w:val="15"/>
              </w:rPr>
              <w:t>4 - Panchakarma</w:t>
            </w:r>
          </w:p>
        </w:tc>
        <w:tc>
          <w:tcPr>
            <w:tcW w:type="dxa" w:w="5040"/>
            <w:tcMar>
              <w:top w:w="75" w:type="dxa"/>
              <w:start w:w="80" w:type="dxa"/>
              <w:bottom w:w="75" w:type="dxa"/>
              <w:end w:w="80" w:type="dxa"/>
            </w:tcMar>
            <w:vAlign w:val="center"/>
          </w:tcPr>
          <w:p>
            <w:r>
              <w:rPr>
                <w:rFonts w:ascii="Liberation Sans" w:hAnsi="Liberation Sans"/>
                <w:color w:val="34313A"/>
                <w:sz w:val="15"/>
              </w:rPr>
              <w:t>Centre onboarding, referral, capability matching, session scheduling/charting, course tracking, quality cases.</w:t>
            </w:r>
          </w:p>
        </w:tc>
        <w:tc>
          <w:tcPr>
            <w:tcW w:type="dxa" w:w="2880"/>
            <w:tcMar>
              <w:top w:w="75" w:type="dxa"/>
              <w:start w:w="80" w:type="dxa"/>
              <w:bottom w:w="75" w:type="dxa"/>
              <w:end w:w="80" w:type="dxa"/>
            </w:tcMar>
            <w:vAlign w:val="center"/>
          </w:tcPr>
          <w:p>
            <w:r>
              <w:rPr>
                <w:rFonts w:ascii="Liberation Sans" w:hAnsi="Liberation Sans"/>
                <w:color w:val="34313A"/>
                <w:sz w:val="15"/>
              </w:rPr>
              <w:t>Safe, repeatable therapy-course operations across pilot centres.</w:t>
            </w:r>
          </w:p>
        </w:tc>
      </w:tr>
      <w:tr>
        <w:tc>
          <w:tcPr>
            <w:tcW w:type="dxa" w:w="1512"/>
            <w:tcMar>
              <w:top w:w="75" w:type="dxa"/>
              <w:start w:w="80" w:type="dxa"/>
              <w:bottom w:w="75" w:type="dxa"/>
              <w:end w:w="80" w:type="dxa"/>
            </w:tcMar>
            <w:vAlign w:val="center"/>
            <w:shd w:fill="FAF8FB"/>
          </w:tcPr>
          <w:p>
            <w:r>
              <w:rPr>
                <w:rFonts w:ascii="Liberation Sans" w:hAnsi="Liberation Sans"/>
                <w:color w:val="34313A"/>
                <w:sz w:val="15"/>
              </w:rPr>
              <w:t>5 - Scale</w:t>
            </w:r>
          </w:p>
        </w:tc>
        <w:tc>
          <w:tcPr>
            <w:tcW w:type="dxa" w:w="5040"/>
            <w:tcMar>
              <w:top w:w="75" w:type="dxa"/>
              <w:start w:w="80" w:type="dxa"/>
              <w:bottom w:w="75" w:type="dxa"/>
              <w:end w:w="80" w:type="dxa"/>
            </w:tcMar>
            <w:vAlign w:val="center"/>
            <w:shd w:fill="FAF8FB"/>
          </w:tcPr>
          <w:p>
            <w:r>
              <w:rPr>
                <w:rFonts w:ascii="Liberation Sans" w:hAnsi="Liberation Sans"/>
                <w:color w:val="34313A"/>
                <w:sz w:val="15"/>
              </w:rPr>
              <w:t>ABDM integration, multilingual, AI assistance, doctor SaaS tiers, advanced analytics, more cities.</w:t>
            </w:r>
          </w:p>
        </w:tc>
        <w:tc>
          <w:tcPr>
            <w:tcW w:type="dxa" w:w="2880"/>
            <w:tcMar>
              <w:top w:w="75" w:type="dxa"/>
              <w:start w:w="80" w:type="dxa"/>
              <w:bottom w:w="75" w:type="dxa"/>
              <w:end w:w="80" w:type="dxa"/>
            </w:tcMar>
            <w:vAlign w:val="center"/>
            <w:shd w:fill="FAF8FB"/>
          </w:tcPr>
          <w:p>
            <w:r>
              <w:rPr>
                <w:rFonts w:ascii="Liberation Sans" w:hAnsi="Liberation Sans"/>
                <w:color w:val="34313A"/>
                <w:sz w:val="15"/>
              </w:rPr>
              <w:t>Interoperable, secure platform with scalable partner operations.</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10080"/>
            <w:shd w:fill="F5ECF7"/>
            <w:tcMar>
              <w:top w:w="150" w:type="dxa"/>
              <w:start w:w="180" w:type="dxa"/>
              <w:bottom w:w="150" w:type="dxa"/>
              <w:end w:w="180" w:type="dxa"/>
            </w:tcMar>
          </w:tcPr>
          <w:p>
            <w:r>
              <w:rPr>
                <w:rFonts w:ascii="Liberation Sans" w:hAnsi="Liberation Sans"/>
                <w:b/>
                <w:color w:val="2D94C6"/>
                <w:sz w:val="20"/>
              </w:rPr>
              <w:t>MVP discipline</w:t>
              <w:br/>
            </w:r>
            <w:r>
              <w:rPr>
                <w:rFonts w:ascii="Liberation Sans" w:hAnsi="Liberation Sans"/>
                <w:color w:val="34313A"/>
                <w:sz w:val="19"/>
              </w:rPr>
              <w:t>Do not build every service before proving that patients complete the core loop: consultation -&gt; plan -&gt; fulfilment -&gt; follow-up.</w:t>
            </w:r>
          </w:p>
        </w:tc>
      </w:tr>
    </w:tbl>
    <w:p>
      <w:pPr>
        <w:spacing w:after="20"/>
      </w:pPr>
    </w:p>
    <w:p>
      <w:pPr>
        <w:spacing w:before="120" w:after="40"/>
      </w:pPr>
      <w:r>
        <w:rPr>
          <w:rFonts w:ascii="Liberation Sans" w:hAnsi="Liberation Sans"/>
          <w:b/>
          <w:color w:val="812A86"/>
          <w:sz w:val="40"/>
        </w:rPr>
        <w:t>21. Operating Model &amp; KPIs</w:t>
      </w:r>
    </w:p>
    <w:p>
      <w:pPr>
        <w:spacing w:before="160" w:after="80"/>
      </w:pPr>
      <w:r>
        <w:rPr>
          <w:rFonts w:ascii="Liberation Sans" w:hAnsi="Liberation Sans"/>
          <w:b/>
          <w:color w:val="2D94C6"/>
          <w:sz w:val="26"/>
        </w:rPr>
        <w:t>Teams required as the business grows</w:t>
      </w:r>
    </w:p>
    <w:p>
      <w:pPr>
        <w:pStyle w:val="ListBullet"/>
        <w:spacing w:after="40" w:line="259" w:lineRule="auto"/>
      </w:pPr>
      <w:r>
        <w:rPr>
          <w:rFonts w:ascii="Liberation Sans" w:hAnsi="Liberation Sans"/>
          <w:color w:val="34313A"/>
          <w:sz w:val="19"/>
        </w:rPr>
        <w:t>Clinical governance and practitioner success.</w:t>
      </w:r>
    </w:p>
    <w:p>
      <w:pPr>
        <w:pStyle w:val="ListBullet"/>
        <w:spacing w:after="40" w:line="259" w:lineRule="auto"/>
      </w:pPr>
      <w:r>
        <w:rPr>
          <w:rFonts w:ascii="Liberation Sans" w:hAnsi="Liberation Sans"/>
          <w:color w:val="34313A"/>
          <w:sz w:val="19"/>
        </w:rPr>
        <w:t>Partner onboarding and quality assurance.</w:t>
      </w:r>
    </w:p>
    <w:p>
      <w:pPr>
        <w:pStyle w:val="ListBullet"/>
        <w:spacing w:after="40" w:line="259" w:lineRule="auto"/>
      </w:pPr>
      <w:r>
        <w:rPr>
          <w:rFonts w:ascii="Liberation Sans" w:hAnsi="Liberation Sans"/>
          <w:color w:val="34313A"/>
          <w:sz w:val="19"/>
        </w:rPr>
        <w:t>Care coordination and customer support.</w:t>
      </w:r>
    </w:p>
    <w:p>
      <w:pPr>
        <w:pStyle w:val="ListBullet"/>
        <w:spacing w:after="40" w:line="259" w:lineRule="auto"/>
      </w:pPr>
      <w:r>
        <w:rPr>
          <w:rFonts w:ascii="Liberation Sans" w:hAnsi="Liberation Sans"/>
          <w:color w:val="34313A"/>
          <w:sz w:val="19"/>
        </w:rPr>
        <w:t>Marketplace/category operations for pharmacy, diagnostics and therapy.</w:t>
      </w:r>
    </w:p>
    <w:p>
      <w:pPr>
        <w:pStyle w:val="ListBullet"/>
        <w:spacing w:after="40" w:line="259" w:lineRule="auto"/>
      </w:pPr>
      <w:r>
        <w:rPr>
          <w:rFonts w:ascii="Liberation Sans" w:hAnsi="Liberation Sans"/>
          <w:color w:val="34313A"/>
          <w:sz w:val="19"/>
        </w:rPr>
        <w:t>Product and engineering.</w:t>
      </w:r>
    </w:p>
    <w:p>
      <w:pPr>
        <w:pStyle w:val="ListBullet"/>
        <w:spacing w:after="40" w:line="259" w:lineRule="auto"/>
      </w:pPr>
      <w:r>
        <w:rPr>
          <w:rFonts w:ascii="Liberation Sans" w:hAnsi="Liberation Sans"/>
          <w:color w:val="34313A"/>
          <w:sz w:val="19"/>
        </w:rPr>
        <w:t>Information security, privacy and compliance.</w:t>
      </w:r>
    </w:p>
    <w:p>
      <w:pPr>
        <w:pStyle w:val="ListBullet"/>
        <w:spacing w:after="40" w:line="259" w:lineRule="auto"/>
      </w:pPr>
      <w:r>
        <w:rPr>
          <w:rFonts w:ascii="Liberation Sans" w:hAnsi="Liberation Sans"/>
          <w:color w:val="34313A"/>
          <w:sz w:val="19"/>
        </w:rPr>
        <w:t>Finance, settlements and reconciliation.</w:t>
      </w:r>
    </w:p>
    <w:p>
      <w:pPr>
        <w:pStyle w:val="ListBullet"/>
        <w:spacing w:after="40" w:line="259" w:lineRule="auto"/>
      </w:pPr>
      <w:r>
        <w:rPr>
          <w:rFonts w:ascii="Liberation Sans" w:hAnsi="Liberation Sans"/>
          <w:color w:val="34313A"/>
          <w:sz w:val="19"/>
        </w:rPr>
        <w:t>Growth, content and community.</w:t>
      </w:r>
    </w:p>
    <w:p>
      <w:pPr>
        <w:spacing w:before="160" w:after="80"/>
      </w:pPr>
      <w:r>
        <w:rPr>
          <w:rFonts w:ascii="Liberation Sans" w:hAnsi="Liberation Sans"/>
          <w:b/>
          <w:color w:val="2D94C6"/>
          <w:sz w:val="26"/>
        </w:rPr>
        <w:t>North-star and supporting metrics</w:t>
      </w:r>
    </w:p>
    <w:tbl>
      <w:tblPr>
        <w:tblStyle w:val="TableGrid"/>
        <w:tblW w:type="auto" w:w="0"/>
        <w:jc w:val="center"/>
        <w:tblLook w:firstColumn="1" w:firstRow="1" w:lastColumn="0" w:lastRow="0" w:noHBand="0" w:noVBand="1" w:val="04A0"/>
      </w:tblPr>
      <w:tblGrid>
        <w:gridCol w:w="5040"/>
        <w:gridCol w:w="5040"/>
      </w:tblGrid>
      <w:tr>
        <w:tc>
          <w:tcPr>
            <w:tcW w:type="dxa" w:w="2088"/>
            <w:shd w:fill="812A86"/>
            <w:tcMar>
              <w:top w:w="90" w:type="dxa"/>
              <w:start w:w="90" w:type="dxa"/>
              <w:bottom w:w="90" w:type="dxa"/>
              <w:end w:w="90" w:type="dxa"/>
            </w:tcMar>
            <w:vAlign w:val="center"/>
          </w:tcPr>
          <w:p>
            <w:pPr>
              <w:jc w:val="center"/>
            </w:pPr>
            <w:r>
              <w:rPr>
                <w:rFonts w:ascii="Liberation Sans" w:hAnsi="Liberation Sans"/>
                <w:b/>
                <w:color w:val="FFFFFF"/>
                <w:sz w:val="16"/>
              </w:rPr>
              <w:t>Metric group</w:t>
            </w:r>
          </w:p>
        </w:tc>
        <w:tc>
          <w:tcPr>
            <w:tcW w:type="dxa" w:w="7272"/>
            <w:shd w:fill="812A86"/>
            <w:tcMar>
              <w:top w:w="90" w:type="dxa"/>
              <w:start w:w="90" w:type="dxa"/>
              <w:bottom w:w="90" w:type="dxa"/>
              <w:end w:w="90" w:type="dxa"/>
            </w:tcMar>
            <w:vAlign w:val="center"/>
          </w:tcPr>
          <w:p>
            <w:pPr>
              <w:jc w:val="center"/>
            </w:pPr>
            <w:r>
              <w:rPr>
                <w:rFonts w:ascii="Liberation Sans" w:hAnsi="Liberation Sans"/>
                <w:b/>
                <w:color w:val="FFFFFF"/>
                <w:sz w:val="16"/>
              </w:rPr>
              <w:t>Examples</w:t>
            </w:r>
          </w:p>
        </w:tc>
      </w:tr>
      <w:tr>
        <w:tc>
          <w:tcPr>
            <w:tcW w:type="dxa" w:w="2088"/>
            <w:tcMar>
              <w:top w:w="75" w:type="dxa"/>
              <w:start w:w="80" w:type="dxa"/>
              <w:bottom w:w="75" w:type="dxa"/>
              <w:end w:w="80" w:type="dxa"/>
            </w:tcMar>
            <w:vAlign w:val="center"/>
          </w:tcPr>
          <w:p>
            <w:r>
              <w:rPr>
                <w:rFonts w:ascii="Liberation Sans" w:hAnsi="Liberation Sans"/>
                <w:color w:val="34313A"/>
                <w:sz w:val="16"/>
              </w:rPr>
              <w:t>North star</w:t>
            </w:r>
          </w:p>
        </w:tc>
        <w:tc>
          <w:tcPr>
            <w:tcW w:type="dxa" w:w="7272"/>
            <w:tcMar>
              <w:top w:w="75" w:type="dxa"/>
              <w:start w:w="80" w:type="dxa"/>
              <w:bottom w:w="75" w:type="dxa"/>
              <w:end w:w="80" w:type="dxa"/>
            </w:tcMar>
            <w:vAlign w:val="center"/>
          </w:tcPr>
          <w:p>
            <w:r>
              <w:rPr>
                <w:rFonts w:ascii="Liberation Sans" w:hAnsi="Liberation Sans"/>
                <w:color w:val="34313A"/>
                <w:sz w:val="16"/>
              </w:rPr>
              <w:t>Percentage of activated Care Plans that reach the intended follow-up milestone.</w:t>
            </w:r>
          </w:p>
        </w:tc>
      </w:tr>
      <w:tr>
        <w:tc>
          <w:tcPr>
            <w:tcW w:type="dxa" w:w="2088"/>
            <w:tcMar>
              <w:top w:w="75" w:type="dxa"/>
              <w:start w:w="80" w:type="dxa"/>
              <w:bottom w:w="75" w:type="dxa"/>
              <w:end w:w="80" w:type="dxa"/>
            </w:tcMar>
            <w:vAlign w:val="center"/>
            <w:shd w:fill="FAF8FB"/>
          </w:tcPr>
          <w:p>
            <w:r>
              <w:rPr>
                <w:rFonts w:ascii="Liberation Sans" w:hAnsi="Liberation Sans"/>
                <w:color w:val="34313A"/>
                <w:sz w:val="16"/>
              </w:rPr>
              <w:t>Access</w:t>
            </w:r>
          </w:p>
        </w:tc>
        <w:tc>
          <w:tcPr>
            <w:tcW w:type="dxa" w:w="7272"/>
            <w:tcMar>
              <w:top w:w="75" w:type="dxa"/>
              <w:start w:w="80" w:type="dxa"/>
              <w:bottom w:w="75" w:type="dxa"/>
              <w:end w:w="80" w:type="dxa"/>
            </w:tcMar>
            <w:vAlign w:val="center"/>
            <w:shd w:fill="FAF8FB"/>
          </w:tcPr>
          <w:p>
            <w:r>
              <w:rPr>
                <w:rFonts w:ascii="Liberation Sans" w:hAnsi="Liberation Sans"/>
                <w:color w:val="34313A"/>
                <w:sz w:val="16"/>
              </w:rPr>
              <w:t>Time to next appointment, consultation show rate, geography/language coverage.</w:t>
            </w:r>
          </w:p>
        </w:tc>
      </w:tr>
      <w:tr>
        <w:tc>
          <w:tcPr>
            <w:tcW w:type="dxa" w:w="2088"/>
            <w:tcMar>
              <w:top w:w="75" w:type="dxa"/>
              <w:start w:w="80" w:type="dxa"/>
              <w:bottom w:w="75" w:type="dxa"/>
              <w:end w:w="80" w:type="dxa"/>
            </w:tcMar>
            <w:vAlign w:val="center"/>
          </w:tcPr>
          <w:p>
            <w:r>
              <w:rPr>
                <w:rFonts w:ascii="Liberation Sans" w:hAnsi="Liberation Sans"/>
                <w:color w:val="34313A"/>
                <w:sz w:val="16"/>
              </w:rPr>
              <w:t>Continuity</w:t>
            </w:r>
          </w:p>
        </w:tc>
        <w:tc>
          <w:tcPr>
            <w:tcW w:type="dxa" w:w="7272"/>
            <w:tcMar>
              <w:top w:w="75" w:type="dxa"/>
              <w:start w:w="80" w:type="dxa"/>
              <w:bottom w:w="75" w:type="dxa"/>
              <w:end w:w="80" w:type="dxa"/>
            </w:tcMar>
            <w:vAlign w:val="center"/>
          </w:tcPr>
          <w:p>
            <w:r>
              <w:rPr>
                <w:rFonts w:ascii="Liberation Sans" w:hAnsi="Liberation Sans"/>
                <w:color w:val="34313A"/>
                <w:sz w:val="16"/>
              </w:rPr>
              <w:t>Follow-up completion, 30/90-day active care rate, repeat practitioner continuity.</w:t>
            </w:r>
          </w:p>
        </w:tc>
      </w:tr>
      <w:tr>
        <w:tc>
          <w:tcPr>
            <w:tcW w:type="dxa" w:w="2088"/>
            <w:tcMar>
              <w:top w:w="75" w:type="dxa"/>
              <w:start w:w="80" w:type="dxa"/>
              <w:bottom w:w="75" w:type="dxa"/>
              <w:end w:w="80" w:type="dxa"/>
            </w:tcMar>
            <w:vAlign w:val="center"/>
            <w:shd w:fill="FAF8FB"/>
          </w:tcPr>
          <w:p>
            <w:r>
              <w:rPr>
                <w:rFonts w:ascii="Liberation Sans" w:hAnsi="Liberation Sans"/>
                <w:color w:val="34313A"/>
                <w:sz w:val="16"/>
              </w:rPr>
              <w:t>Fulfilment</w:t>
            </w:r>
          </w:p>
        </w:tc>
        <w:tc>
          <w:tcPr>
            <w:tcW w:type="dxa" w:w="7272"/>
            <w:tcMar>
              <w:top w:w="75" w:type="dxa"/>
              <w:start w:w="80" w:type="dxa"/>
              <w:bottom w:w="75" w:type="dxa"/>
              <w:end w:w="80" w:type="dxa"/>
            </w:tcMar>
            <w:vAlign w:val="center"/>
            <w:shd w:fill="FAF8FB"/>
          </w:tcPr>
          <w:p>
            <w:r>
              <w:rPr>
                <w:rFonts w:ascii="Liberation Sans" w:hAnsi="Liberation Sans"/>
                <w:color w:val="34313A"/>
                <w:sz w:val="16"/>
              </w:rPr>
              <w:t>Medicine delivery SLA, lab TAT, therapy attendance/completion, failed-order rate.</w:t>
            </w:r>
          </w:p>
        </w:tc>
      </w:tr>
      <w:tr>
        <w:tc>
          <w:tcPr>
            <w:tcW w:type="dxa" w:w="2088"/>
            <w:tcMar>
              <w:top w:w="75" w:type="dxa"/>
              <w:start w:w="80" w:type="dxa"/>
              <w:bottom w:w="75" w:type="dxa"/>
              <w:end w:w="80" w:type="dxa"/>
            </w:tcMar>
            <w:vAlign w:val="center"/>
          </w:tcPr>
          <w:p>
            <w:r>
              <w:rPr>
                <w:rFonts w:ascii="Liberation Sans" w:hAnsi="Liberation Sans"/>
                <w:color w:val="34313A"/>
                <w:sz w:val="16"/>
              </w:rPr>
              <w:t>Quality</w:t>
            </w:r>
          </w:p>
        </w:tc>
        <w:tc>
          <w:tcPr>
            <w:tcW w:type="dxa" w:w="7272"/>
            <w:tcMar>
              <w:top w:w="75" w:type="dxa"/>
              <w:start w:w="80" w:type="dxa"/>
              <w:bottom w:w="75" w:type="dxa"/>
              <w:end w:w="80" w:type="dxa"/>
            </w:tcMar>
            <w:vAlign w:val="center"/>
          </w:tcPr>
          <w:p>
            <w:r>
              <w:rPr>
                <w:rFonts w:ascii="Liberation Sans" w:hAnsi="Liberation Sans"/>
                <w:color w:val="34313A"/>
                <w:sz w:val="16"/>
              </w:rPr>
              <w:t>Credential-verification coverage, complaints/1,000 transactions, safety events, audit pass rate.</w:t>
            </w:r>
          </w:p>
        </w:tc>
      </w:tr>
      <w:tr>
        <w:tc>
          <w:tcPr>
            <w:tcW w:type="dxa" w:w="2088"/>
            <w:tcMar>
              <w:top w:w="75" w:type="dxa"/>
              <w:start w:w="80" w:type="dxa"/>
              <w:bottom w:w="75" w:type="dxa"/>
              <w:end w:w="80" w:type="dxa"/>
            </w:tcMar>
            <w:vAlign w:val="center"/>
            <w:shd w:fill="FAF8FB"/>
          </w:tcPr>
          <w:p>
            <w:r>
              <w:rPr>
                <w:rFonts w:ascii="Liberation Sans" w:hAnsi="Liberation Sans"/>
                <w:color w:val="34313A"/>
                <w:sz w:val="16"/>
              </w:rPr>
              <w:t>Experience</w:t>
            </w:r>
          </w:p>
        </w:tc>
        <w:tc>
          <w:tcPr>
            <w:tcW w:type="dxa" w:w="7272"/>
            <w:tcMar>
              <w:top w:w="75" w:type="dxa"/>
              <w:start w:w="80" w:type="dxa"/>
              <w:bottom w:w="75" w:type="dxa"/>
              <w:end w:w="80" w:type="dxa"/>
            </w:tcMar>
            <w:vAlign w:val="center"/>
            <w:shd w:fill="FAF8FB"/>
          </w:tcPr>
          <w:p>
            <w:r>
              <w:rPr>
                <w:rFonts w:ascii="Liberation Sans" w:hAnsi="Liberation Sans"/>
                <w:color w:val="34313A"/>
                <w:sz w:val="16"/>
              </w:rPr>
              <w:t>Patient satisfaction, practitioner satisfaction, support resolution time.</w:t>
            </w:r>
          </w:p>
        </w:tc>
      </w:tr>
      <w:tr>
        <w:tc>
          <w:tcPr>
            <w:tcW w:type="dxa" w:w="2088"/>
            <w:tcMar>
              <w:top w:w="75" w:type="dxa"/>
              <w:start w:w="80" w:type="dxa"/>
              <w:bottom w:w="75" w:type="dxa"/>
              <w:end w:w="80" w:type="dxa"/>
            </w:tcMar>
            <w:vAlign w:val="center"/>
          </w:tcPr>
          <w:p>
            <w:r>
              <w:rPr>
                <w:rFonts w:ascii="Liberation Sans" w:hAnsi="Liberation Sans"/>
                <w:color w:val="34313A"/>
                <w:sz w:val="16"/>
              </w:rPr>
              <w:t>Economics</w:t>
            </w:r>
          </w:p>
        </w:tc>
        <w:tc>
          <w:tcPr>
            <w:tcW w:type="dxa" w:w="7272"/>
            <w:tcMar>
              <w:top w:w="75" w:type="dxa"/>
              <w:start w:w="80" w:type="dxa"/>
              <w:bottom w:w="75" w:type="dxa"/>
              <w:end w:w="80" w:type="dxa"/>
            </w:tcMar>
            <w:vAlign w:val="center"/>
          </w:tcPr>
          <w:p>
            <w:r>
              <w:rPr>
                <w:rFonts w:ascii="Liberation Sans" w:hAnsi="Liberation Sans"/>
                <w:color w:val="34313A"/>
                <w:sz w:val="16"/>
              </w:rPr>
              <w:t>CAC, contribution margin, GMV, take rate, SaaS ARPU, partner payout cycle, refund cost.</w:t>
            </w:r>
          </w:p>
        </w:tc>
      </w:tr>
      <w:tr>
        <w:tc>
          <w:tcPr>
            <w:tcW w:type="dxa" w:w="2088"/>
            <w:tcMar>
              <w:top w:w="75" w:type="dxa"/>
              <w:start w:w="80" w:type="dxa"/>
              <w:bottom w:w="75" w:type="dxa"/>
              <w:end w:w="80" w:type="dxa"/>
            </w:tcMar>
            <w:vAlign w:val="center"/>
            <w:shd w:fill="FAF8FB"/>
          </w:tcPr>
          <w:p>
            <w:r>
              <w:rPr>
                <w:rFonts w:ascii="Liberation Sans" w:hAnsi="Liberation Sans"/>
                <w:color w:val="34313A"/>
                <w:sz w:val="16"/>
              </w:rPr>
              <w:t>Security/privacy</w:t>
            </w:r>
          </w:p>
        </w:tc>
        <w:tc>
          <w:tcPr>
            <w:tcW w:type="dxa" w:w="7272"/>
            <w:tcMar>
              <w:top w:w="75" w:type="dxa"/>
              <w:start w:w="80" w:type="dxa"/>
              <w:bottom w:w="75" w:type="dxa"/>
              <w:end w:w="80" w:type="dxa"/>
            </w:tcMar>
            <w:vAlign w:val="center"/>
            <w:shd w:fill="FAF8FB"/>
          </w:tcPr>
          <w:p>
            <w:r>
              <w:rPr>
                <w:rFonts w:ascii="Liberation Sans" w:hAnsi="Liberation Sans"/>
                <w:color w:val="34313A"/>
                <w:sz w:val="16"/>
              </w:rPr>
              <w:t>MFA adoption, privileged-access events, incidents, patch SLA, data-request turnaround.</w:t>
            </w:r>
          </w:p>
        </w:tc>
      </w:tr>
    </w:tbl>
    <w:p>
      <w:pPr>
        <w:spacing w:after="20"/>
      </w:pPr>
    </w:p>
    <w:p>
      <w:pPr>
        <w:spacing w:before="120" w:after="40"/>
      </w:pPr>
      <w:r>
        <w:rPr>
          <w:rFonts w:ascii="Liberation Sans" w:hAnsi="Liberation Sans"/>
          <w:b/>
          <w:color w:val="812A86"/>
          <w:sz w:val="40"/>
        </w:rPr>
        <w:t>22. Key Risks &amp;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812A86"/>
            <w:tcMar>
              <w:top w:w="90" w:type="dxa"/>
              <w:start w:w="90" w:type="dxa"/>
              <w:bottom w:w="90" w:type="dxa"/>
              <w:end w:w="90" w:type="dxa"/>
            </w:tcMar>
            <w:vAlign w:val="center"/>
          </w:tcPr>
          <w:p>
            <w:pPr>
              <w:jc w:val="center"/>
            </w:pPr>
            <w:r>
              <w:rPr>
                <w:rFonts w:ascii="Liberation Sans" w:hAnsi="Liberation Sans"/>
                <w:b/>
                <w:color w:val="FFFFFF"/>
                <w:sz w:val="15"/>
              </w:rPr>
              <w:t>Risk</w:t>
            </w:r>
          </w:p>
        </w:tc>
        <w:tc>
          <w:tcPr>
            <w:tcW w:type="dxa" w:w="3096"/>
            <w:shd w:fill="812A86"/>
            <w:tcMar>
              <w:top w:w="90" w:type="dxa"/>
              <w:start w:w="90" w:type="dxa"/>
              <w:bottom w:w="90" w:type="dxa"/>
              <w:end w:w="90" w:type="dxa"/>
            </w:tcMar>
            <w:vAlign w:val="center"/>
          </w:tcPr>
          <w:p>
            <w:pPr>
              <w:jc w:val="center"/>
            </w:pPr>
            <w:r>
              <w:rPr>
                <w:rFonts w:ascii="Liberation Sans" w:hAnsi="Liberation Sans"/>
                <w:b/>
                <w:color w:val="FFFFFF"/>
                <w:sz w:val="15"/>
              </w:rPr>
              <w:t>Why it matters</w:t>
            </w:r>
          </w:p>
        </w:tc>
        <w:tc>
          <w:tcPr>
            <w:tcW w:type="dxa" w:w="4248"/>
            <w:shd w:fill="812A86"/>
            <w:tcMar>
              <w:top w:w="90" w:type="dxa"/>
              <w:start w:w="90" w:type="dxa"/>
              <w:bottom w:w="90" w:type="dxa"/>
              <w:end w:w="90" w:type="dxa"/>
            </w:tcMar>
            <w:vAlign w:val="center"/>
          </w:tcPr>
          <w:p>
            <w:pPr>
              <w:jc w:val="center"/>
            </w:pPr>
            <w:r>
              <w:rPr>
                <w:rFonts w:ascii="Liberation Sans" w:hAnsi="Liberation Sans"/>
                <w:b/>
                <w:color w:val="FFFFFF"/>
                <w:sz w:val="15"/>
              </w:rPr>
              <w:t>Mitigation direction</w:t>
            </w:r>
          </w:p>
        </w:tc>
      </w:tr>
      <w:tr>
        <w:tc>
          <w:tcPr>
            <w:tcW w:type="dxa" w:w="2016"/>
            <w:tcMar>
              <w:top w:w="75" w:type="dxa"/>
              <w:start w:w="80" w:type="dxa"/>
              <w:bottom w:w="75" w:type="dxa"/>
              <w:end w:w="80" w:type="dxa"/>
            </w:tcMar>
            <w:vAlign w:val="center"/>
          </w:tcPr>
          <w:p>
            <w:r>
              <w:rPr>
                <w:rFonts w:ascii="Liberation Sans" w:hAnsi="Liberation Sans"/>
                <w:color w:val="34313A"/>
                <w:sz w:val="15"/>
              </w:rPr>
              <w:t>Clinical safety</w:t>
            </w:r>
          </w:p>
        </w:tc>
        <w:tc>
          <w:tcPr>
            <w:tcW w:type="dxa" w:w="3096"/>
            <w:tcMar>
              <w:top w:w="75" w:type="dxa"/>
              <w:start w:w="80" w:type="dxa"/>
              <w:bottom w:w="75" w:type="dxa"/>
              <w:end w:w="80" w:type="dxa"/>
            </w:tcMar>
            <w:vAlign w:val="center"/>
          </w:tcPr>
          <w:p>
            <w:r>
              <w:rPr>
                <w:rFonts w:ascii="Liberation Sans" w:hAnsi="Liberation Sans"/>
                <w:color w:val="34313A"/>
                <w:sz w:val="15"/>
              </w:rPr>
              <w:t>Bad advice or poor escalation can cause patient harm.</w:t>
            </w:r>
          </w:p>
        </w:tc>
        <w:tc>
          <w:tcPr>
            <w:tcW w:type="dxa" w:w="4248"/>
            <w:tcMar>
              <w:top w:w="75" w:type="dxa"/>
              <w:start w:w="80" w:type="dxa"/>
              <w:bottom w:w="75" w:type="dxa"/>
              <w:end w:w="80" w:type="dxa"/>
            </w:tcMar>
            <w:vAlign w:val="center"/>
          </w:tcPr>
          <w:p>
            <w:r>
              <w:rPr>
                <w:rFonts w:ascii="Liberation Sans" w:hAnsi="Liberation Sans"/>
                <w:color w:val="34313A"/>
                <w:sz w:val="15"/>
              </w:rPr>
              <w:t>Qualified practitioners, clinical governance, red-flag routing, incident process, AI limits.</w:t>
            </w:r>
          </w:p>
        </w:tc>
      </w:tr>
      <w:tr>
        <w:tc>
          <w:tcPr>
            <w:tcW w:type="dxa" w:w="2016"/>
            <w:tcMar>
              <w:top w:w="75" w:type="dxa"/>
              <w:start w:w="80" w:type="dxa"/>
              <w:bottom w:w="75" w:type="dxa"/>
              <w:end w:w="80" w:type="dxa"/>
            </w:tcMar>
            <w:vAlign w:val="center"/>
            <w:shd w:fill="FAF8FB"/>
          </w:tcPr>
          <w:p>
            <w:r>
              <w:rPr>
                <w:rFonts w:ascii="Liberation Sans" w:hAnsi="Liberation Sans"/>
                <w:color w:val="34313A"/>
                <w:sz w:val="15"/>
              </w:rPr>
              <w:t>Credential fraud</w:t>
            </w:r>
          </w:p>
        </w:tc>
        <w:tc>
          <w:tcPr>
            <w:tcW w:type="dxa" w:w="3096"/>
            <w:tcMar>
              <w:top w:w="75" w:type="dxa"/>
              <w:start w:w="80" w:type="dxa"/>
              <w:bottom w:w="75" w:type="dxa"/>
              <w:end w:w="80" w:type="dxa"/>
            </w:tcMar>
            <w:vAlign w:val="center"/>
            <w:shd w:fill="FAF8FB"/>
          </w:tcPr>
          <w:p>
            <w:r>
              <w:rPr>
                <w:rFonts w:ascii="Liberation Sans" w:hAnsi="Liberation Sans"/>
                <w:color w:val="34313A"/>
                <w:sz w:val="15"/>
              </w:rPr>
              <w:t>Unqualified provider destroys trust and creates legal exposure.</w:t>
            </w:r>
          </w:p>
        </w:tc>
        <w:tc>
          <w:tcPr>
            <w:tcW w:type="dxa" w:w="4248"/>
            <w:tcMar>
              <w:top w:w="75" w:type="dxa"/>
              <w:start w:w="80" w:type="dxa"/>
              <w:bottom w:w="75" w:type="dxa"/>
              <w:end w:w="80" w:type="dxa"/>
            </w:tcMar>
            <w:vAlign w:val="center"/>
            <w:shd w:fill="FAF8FB"/>
          </w:tcPr>
          <w:p>
            <w:r>
              <w:rPr>
                <w:rFonts w:ascii="Liberation Sans" w:hAnsi="Liberation Sans"/>
                <w:color w:val="34313A"/>
                <w:sz w:val="15"/>
              </w:rPr>
              <w:t>Registry checks, document verification, periodic reverification, suspension controls.</w:t>
            </w:r>
          </w:p>
        </w:tc>
      </w:tr>
      <w:tr>
        <w:tc>
          <w:tcPr>
            <w:tcW w:type="dxa" w:w="2016"/>
            <w:tcMar>
              <w:top w:w="75" w:type="dxa"/>
              <w:start w:w="80" w:type="dxa"/>
              <w:bottom w:w="75" w:type="dxa"/>
              <w:end w:w="80" w:type="dxa"/>
            </w:tcMar>
            <w:vAlign w:val="center"/>
          </w:tcPr>
          <w:p>
            <w:r>
              <w:rPr>
                <w:rFonts w:ascii="Liberation Sans" w:hAnsi="Liberation Sans"/>
                <w:color w:val="34313A"/>
                <w:sz w:val="15"/>
              </w:rPr>
              <w:t>Marketplace conflict</w:t>
            </w:r>
          </w:p>
        </w:tc>
        <w:tc>
          <w:tcPr>
            <w:tcW w:type="dxa" w:w="3096"/>
            <w:tcMar>
              <w:top w:w="75" w:type="dxa"/>
              <w:start w:w="80" w:type="dxa"/>
              <w:bottom w:w="75" w:type="dxa"/>
              <w:end w:w="80" w:type="dxa"/>
            </w:tcMar>
            <w:vAlign w:val="center"/>
          </w:tcPr>
          <w:p>
            <w:r>
              <w:rPr>
                <w:rFonts w:ascii="Liberation Sans" w:hAnsi="Liberation Sans"/>
                <w:color w:val="34313A"/>
                <w:sz w:val="15"/>
              </w:rPr>
              <w:t>Commercial incentives may bias referrals.</w:t>
            </w:r>
          </w:p>
        </w:tc>
        <w:tc>
          <w:tcPr>
            <w:tcW w:type="dxa" w:w="4248"/>
            <w:tcMar>
              <w:top w:w="75" w:type="dxa"/>
              <w:start w:w="80" w:type="dxa"/>
              <w:bottom w:w="75" w:type="dxa"/>
              <w:end w:w="80" w:type="dxa"/>
            </w:tcMar>
            <w:vAlign w:val="center"/>
          </w:tcPr>
          <w:p>
            <w:r>
              <w:rPr>
                <w:rFonts w:ascii="Liberation Sans" w:hAnsi="Liberation Sans"/>
                <w:color w:val="34313A"/>
                <w:sz w:val="15"/>
              </w:rPr>
              <w:t>Neutral ranking rules, disclosures, audit referral patterns, clinician independence.</w:t>
            </w:r>
          </w:p>
        </w:tc>
      </w:tr>
      <w:tr>
        <w:tc>
          <w:tcPr>
            <w:tcW w:type="dxa" w:w="2016"/>
            <w:tcMar>
              <w:top w:w="75" w:type="dxa"/>
              <w:start w:w="80" w:type="dxa"/>
              <w:bottom w:w="75" w:type="dxa"/>
              <w:end w:w="80" w:type="dxa"/>
            </w:tcMar>
            <w:vAlign w:val="center"/>
            <w:shd w:fill="FAF8FB"/>
          </w:tcPr>
          <w:p>
            <w:r>
              <w:rPr>
                <w:rFonts w:ascii="Liberation Sans" w:hAnsi="Liberation Sans"/>
                <w:color w:val="34313A"/>
                <w:sz w:val="15"/>
              </w:rPr>
              <w:t>Data breach</w:t>
            </w:r>
          </w:p>
        </w:tc>
        <w:tc>
          <w:tcPr>
            <w:tcW w:type="dxa" w:w="3096"/>
            <w:tcMar>
              <w:top w:w="75" w:type="dxa"/>
              <w:start w:w="80" w:type="dxa"/>
              <w:bottom w:w="75" w:type="dxa"/>
              <w:end w:w="80" w:type="dxa"/>
            </w:tcMar>
            <w:vAlign w:val="center"/>
            <w:shd w:fill="FAF8FB"/>
          </w:tcPr>
          <w:p>
            <w:r>
              <w:rPr>
                <w:rFonts w:ascii="Liberation Sans" w:hAnsi="Liberation Sans"/>
                <w:color w:val="34313A"/>
                <w:sz w:val="15"/>
              </w:rPr>
              <w:t>Health records are highly sensitive.</w:t>
            </w:r>
          </w:p>
        </w:tc>
        <w:tc>
          <w:tcPr>
            <w:tcW w:type="dxa" w:w="4248"/>
            <w:tcMar>
              <w:top w:w="75" w:type="dxa"/>
              <w:start w:w="80" w:type="dxa"/>
              <w:bottom w:w="75" w:type="dxa"/>
              <w:end w:w="80" w:type="dxa"/>
            </w:tcMar>
            <w:vAlign w:val="center"/>
            <w:shd w:fill="FAF8FB"/>
          </w:tcPr>
          <w:p>
            <w:r>
              <w:rPr>
                <w:rFonts w:ascii="Liberation Sans" w:hAnsi="Liberation Sans"/>
                <w:color w:val="34313A"/>
                <w:sz w:val="15"/>
              </w:rPr>
              <w:t>Privacy/security by design, encryption, least privilege, audit, vendor review, IR.</w:t>
            </w:r>
          </w:p>
        </w:tc>
      </w:tr>
      <w:tr>
        <w:tc>
          <w:tcPr>
            <w:tcW w:type="dxa" w:w="2016"/>
            <w:tcMar>
              <w:top w:w="75" w:type="dxa"/>
              <w:start w:w="80" w:type="dxa"/>
              <w:bottom w:w="75" w:type="dxa"/>
              <w:end w:w="80" w:type="dxa"/>
            </w:tcMar>
            <w:vAlign w:val="center"/>
          </w:tcPr>
          <w:p>
            <w:r>
              <w:rPr>
                <w:rFonts w:ascii="Liberation Sans" w:hAnsi="Liberation Sans"/>
                <w:color w:val="34313A"/>
                <w:sz w:val="15"/>
              </w:rPr>
              <w:t>Medicine quality</w:t>
            </w:r>
          </w:p>
        </w:tc>
        <w:tc>
          <w:tcPr>
            <w:tcW w:type="dxa" w:w="3096"/>
            <w:tcMar>
              <w:top w:w="75" w:type="dxa"/>
              <w:start w:w="80" w:type="dxa"/>
              <w:bottom w:w="75" w:type="dxa"/>
              <w:end w:w="80" w:type="dxa"/>
            </w:tcMar>
            <w:vAlign w:val="center"/>
          </w:tcPr>
          <w:p>
            <w:r>
              <w:rPr>
                <w:rFonts w:ascii="Liberation Sans" w:hAnsi="Liberation Sans"/>
                <w:color w:val="34313A"/>
                <w:sz w:val="15"/>
              </w:rPr>
              <w:t>Counterfeit, expired or inappropriate product creates harm.</w:t>
            </w:r>
          </w:p>
        </w:tc>
        <w:tc>
          <w:tcPr>
            <w:tcW w:type="dxa" w:w="4248"/>
            <w:tcMar>
              <w:top w:w="75" w:type="dxa"/>
              <w:start w:w="80" w:type="dxa"/>
              <w:bottom w:w="75" w:type="dxa"/>
              <w:end w:w="80" w:type="dxa"/>
            </w:tcMar>
            <w:vAlign w:val="center"/>
          </w:tcPr>
          <w:p>
            <w:r>
              <w:rPr>
                <w:rFonts w:ascii="Liberation Sans" w:hAnsi="Liberation Sans"/>
                <w:color w:val="34313A"/>
                <w:sz w:val="15"/>
              </w:rPr>
              <w:t>Licensed partners, traceability, batch/expiry controls, recalls and complaints.</w:t>
            </w:r>
          </w:p>
        </w:tc>
      </w:tr>
      <w:tr>
        <w:tc>
          <w:tcPr>
            <w:tcW w:type="dxa" w:w="2016"/>
            <w:tcMar>
              <w:top w:w="75" w:type="dxa"/>
              <w:start w:w="80" w:type="dxa"/>
              <w:bottom w:w="75" w:type="dxa"/>
              <w:end w:w="80" w:type="dxa"/>
            </w:tcMar>
            <w:vAlign w:val="center"/>
            <w:shd w:fill="FAF8FB"/>
          </w:tcPr>
          <w:p>
            <w:r>
              <w:rPr>
                <w:rFonts w:ascii="Liberation Sans" w:hAnsi="Liberation Sans"/>
                <w:color w:val="34313A"/>
                <w:sz w:val="15"/>
              </w:rPr>
              <w:t>Therapy variability</w:t>
            </w:r>
          </w:p>
        </w:tc>
        <w:tc>
          <w:tcPr>
            <w:tcW w:type="dxa" w:w="3096"/>
            <w:tcMar>
              <w:top w:w="75" w:type="dxa"/>
              <w:start w:w="80" w:type="dxa"/>
              <w:bottom w:w="75" w:type="dxa"/>
              <w:end w:w="80" w:type="dxa"/>
            </w:tcMar>
            <w:vAlign w:val="center"/>
            <w:shd w:fill="FAF8FB"/>
          </w:tcPr>
          <w:p>
            <w:r>
              <w:rPr>
                <w:rFonts w:ascii="Liberation Sans" w:hAnsi="Liberation Sans"/>
                <w:color w:val="34313A"/>
                <w:sz w:val="15"/>
              </w:rPr>
              <w:t>Facility capability and hygiene differ widely.</w:t>
            </w:r>
          </w:p>
        </w:tc>
        <w:tc>
          <w:tcPr>
            <w:tcW w:type="dxa" w:w="4248"/>
            <w:tcMar>
              <w:top w:w="75" w:type="dxa"/>
              <w:start w:w="80" w:type="dxa"/>
              <w:bottom w:w="75" w:type="dxa"/>
              <w:end w:w="80" w:type="dxa"/>
            </w:tcMar>
            <w:vAlign w:val="center"/>
            <w:shd w:fill="FAF8FB"/>
          </w:tcPr>
          <w:p>
            <w:r>
              <w:rPr>
                <w:rFonts w:ascii="Liberation Sans" w:hAnsi="Liberation Sans"/>
                <w:color w:val="34313A"/>
                <w:sz w:val="15"/>
              </w:rPr>
              <w:t>Onboarding standards, service capability matrix, audits and incident reporting.</w:t>
            </w:r>
          </w:p>
        </w:tc>
      </w:tr>
      <w:tr>
        <w:tc>
          <w:tcPr>
            <w:tcW w:type="dxa" w:w="2016"/>
            <w:tcMar>
              <w:top w:w="75" w:type="dxa"/>
              <w:start w:w="80" w:type="dxa"/>
              <w:bottom w:w="75" w:type="dxa"/>
              <w:end w:w="80" w:type="dxa"/>
            </w:tcMar>
            <w:vAlign w:val="center"/>
          </w:tcPr>
          <w:p>
            <w:r>
              <w:rPr>
                <w:rFonts w:ascii="Liberation Sans" w:hAnsi="Liberation Sans"/>
                <w:color w:val="34313A"/>
                <w:sz w:val="15"/>
              </w:rPr>
              <w:t>Operational complexity</w:t>
            </w:r>
          </w:p>
        </w:tc>
        <w:tc>
          <w:tcPr>
            <w:tcW w:type="dxa" w:w="3096"/>
            <w:tcMar>
              <w:top w:w="75" w:type="dxa"/>
              <w:start w:w="80" w:type="dxa"/>
              <w:bottom w:w="75" w:type="dxa"/>
              <w:end w:w="80" w:type="dxa"/>
            </w:tcMar>
            <w:vAlign w:val="center"/>
          </w:tcPr>
          <w:p>
            <w:r>
              <w:rPr>
                <w:rFonts w:ascii="Liberation Sans" w:hAnsi="Liberation Sans"/>
                <w:color w:val="34313A"/>
                <w:sz w:val="15"/>
              </w:rPr>
              <w:t>Multiple partners create failure points.</w:t>
            </w:r>
          </w:p>
        </w:tc>
        <w:tc>
          <w:tcPr>
            <w:tcW w:type="dxa" w:w="4248"/>
            <w:tcMar>
              <w:top w:w="75" w:type="dxa"/>
              <w:start w:w="80" w:type="dxa"/>
              <w:bottom w:w="75" w:type="dxa"/>
              <w:end w:w="80" w:type="dxa"/>
            </w:tcMar>
            <w:vAlign w:val="center"/>
          </w:tcPr>
          <w:p>
            <w:r>
              <w:rPr>
                <w:rFonts w:ascii="Liberation Sans" w:hAnsi="Liberation Sans"/>
                <w:color w:val="34313A"/>
                <w:sz w:val="15"/>
              </w:rPr>
              <w:t>Workflow engine, care coordination, exception queues, SLA ownership.</w:t>
            </w:r>
          </w:p>
        </w:tc>
      </w:tr>
      <w:tr>
        <w:tc>
          <w:tcPr>
            <w:tcW w:type="dxa" w:w="2016"/>
            <w:tcMar>
              <w:top w:w="75" w:type="dxa"/>
              <w:start w:w="80" w:type="dxa"/>
              <w:bottom w:w="75" w:type="dxa"/>
              <w:end w:w="80" w:type="dxa"/>
            </w:tcMar>
            <w:vAlign w:val="center"/>
            <w:shd w:fill="FAF8FB"/>
          </w:tcPr>
          <w:p>
            <w:r>
              <w:rPr>
                <w:rFonts w:ascii="Liberation Sans" w:hAnsi="Liberation Sans"/>
                <w:color w:val="34313A"/>
                <w:sz w:val="15"/>
              </w:rPr>
              <w:t>Regulatory change</w:t>
            </w:r>
          </w:p>
        </w:tc>
        <w:tc>
          <w:tcPr>
            <w:tcW w:type="dxa" w:w="3096"/>
            <w:tcMar>
              <w:top w:w="75" w:type="dxa"/>
              <w:start w:w="80" w:type="dxa"/>
              <w:bottom w:w="75" w:type="dxa"/>
              <w:end w:w="80" w:type="dxa"/>
            </w:tcMar>
            <w:vAlign w:val="center"/>
            <w:shd w:fill="FAF8FB"/>
          </w:tcPr>
          <w:p>
            <w:r>
              <w:rPr>
                <w:rFonts w:ascii="Liberation Sans" w:hAnsi="Liberation Sans"/>
                <w:color w:val="34313A"/>
                <w:sz w:val="15"/>
              </w:rPr>
              <w:t>Health, drugs, privacy and digital rules evolve.</w:t>
            </w:r>
          </w:p>
        </w:tc>
        <w:tc>
          <w:tcPr>
            <w:tcW w:type="dxa" w:w="4248"/>
            <w:tcMar>
              <w:top w:w="75" w:type="dxa"/>
              <w:start w:w="80" w:type="dxa"/>
              <w:bottom w:w="75" w:type="dxa"/>
              <w:end w:w="80" w:type="dxa"/>
            </w:tcMar>
            <w:vAlign w:val="center"/>
            <w:shd w:fill="FAF8FB"/>
          </w:tcPr>
          <w:p>
            <w:r>
              <w:rPr>
                <w:rFonts w:ascii="Liberation Sans" w:hAnsi="Liberation Sans"/>
                <w:color w:val="34313A"/>
                <w:sz w:val="15"/>
              </w:rPr>
              <w:t>Dedicated compliance owner and configurable policies/consents/catalogues.</w:t>
            </w:r>
          </w:p>
        </w:tc>
      </w:tr>
      <w:tr>
        <w:tc>
          <w:tcPr>
            <w:tcW w:type="dxa" w:w="2016"/>
            <w:tcMar>
              <w:top w:w="75" w:type="dxa"/>
              <w:start w:w="80" w:type="dxa"/>
              <w:bottom w:w="75" w:type="dxa"/>
              <w:end w:w="80" w:type="dxa"/>
            </w:tcMar>
            <w:vAlign w:val="center"/>
          </w:tcPr>
          <w:p>
            <w:r>
              <w:rPr>
                <w:rFonts w:ascii="Liberation Sans" w:hAnsi="Liberation Sans"/>
                <w:color w:val="34313A"/>
                <w:sz w:val="15"/>
              </w:rPr>
              <w:t>Overbuilding</w:t>
            </w:r>
          </w:p>
        </w:tc>
        <w:tc>
          <w:tcPr>
            <w:tcW w:type="dxa" w:w="3096"/>
            <w:tcMar>
              <w:top w:w="75" w:type="dxa"/>
              <w:start w:w="80" w:type="dxa"/>
              <w:bottom w:w="75" w:type="dxa"/>
              <w:end w:w="80" w:type="dxa"/>
            </w:tcMar>
            <w:vAlign w:val="center"/>
          </w:tcPr>
          <w:p>
            <w:r>
              <w:rPr>
                <w:rFonts w:ascii="Liberation Sans" w:hAnsi="Liberation Sans"/>
                <w:color w:val="34313A"/>
                <w:sz w:val="15"/>
              </w:rPr>
              <w:t>Large scope can consume capital before validation.</w:t>
            </w:r>
          </w:p>
        </w:tc>
        <w:tc>
          <w:tcPr>
            <w:tcW w:type="dxa" w:w="4248"/>
            <w:tcMar>
              <w:top w:w="75" w:type="dxa"/>
              <w:start w:w="80" w:type="dxa"/>
              <w:bottom w:w="75" w:type="dxa"/>
              <w:end w:w="80" w:type="dxa"/>
            </w:tcMar>
            <w:vAlign w:val="center"/>
          </w:tcPr>
          <w:p>
            <w:r>
              <w:rPr>
                <w:rFonts w:ascii="Liberation Sans" w:hAnsi="Liberation Sans"/>
                <w:color w:val="34313A"/>
                <w:sz w:val="15"/>
              </w:rPr>
              <w:t>Phased MVP with explicit exit criteria and pilot economics.</w:t>
            </w:r>
          </w:p>
        </w:tc>
      </w:tr>
    </w:tbl>
    <w:p>
      <w:pPr>
        <w:spacing w:after="20"/>
      </w:pPr>
    </w:p>
    <w:p>
      <w:pPr>
        <w:spacing w:before="120" w:after="40"/>
      </w:pPr>
      <w:r>
        <w:rPr>
          <w:rFonts w:ascii="Liberation Sans" w:hAnsi="Liberation Sans"/>
          <w:b/>
          <w:color w:val="812A86"/>
          <w:sz w:val="40"/>
        </w:rPr>
        <w:t>23. Competitive Positioning</w:t>
      </w:r>
    </w:p>
    <w:p>
      <w:pPr>
        <w:spacing w:after="180"/>
      </w:pPr>
      <w:r>
        <w:rPr>
          <w:rFonts w:ascii="Liberation Sans" w:hAnsi="Liberation Sans"/>
          <w:color w:val="6B6470"/>
          <w:sz w:val="19"/>
        </w:rPr>
        <w:t>Compete on orchestration and neutrality, not merely on the existence of online Ayurveda services.</w:t>
      </w:r>
    </w:p>
    <w:p>
      <w:pPr>
        <w:spacing w:after="100" w:before="0" w:line="269" w:lineRule="auto"/>
      </w:pPr>
      <w:r>
        <w:rPr>
          <w:rFonts w:ascii="Liberation Sans" w:hAnsi="Liberation Sans"/>
          <w:b w:val="0"/>
          <w:color w:val="34313A"/>
          <w:sz w:val="21"/>
        </w:rPr>
        <w:t>Current providers validate consumer demand for online Ayurveda and integrated services. For example, Jiva publicly offers phone/video/clinic consultation, medicine delivery and clinic-based Panchakarma across its network. The proposed platform should therefore avoid positioning itself as “Ayurveda online” and instead differentiate as an independent care-orchestration network connecting multiple verified providers.</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812A86"/>
            <w:tcMar>
              <w:top w:w="90" w:type="dxa"/>
              <w:start w:w="90" w:type="dxa"/>
              <w:bottom w:w="90" w:type="dxa"/>
              <w:end w:w="90" w:type="dxa"/>
            </w:tcMar>
            <w:vAlign w:val="center"/>
          </w:tcPr>
          <w:p>
            <w:pPr>
              <w:jc w:val="center"/>
            </w:pPr>
            <w:r>
              <w:rPr>
                <w:rFonts w:ascii="Liberation Sans" w:hAnsi="Liberation Sans"/>
                <w:b/>
                <w:color w:val="FFFFFF"/>
                <w:sz w:val="16"/>
              </w:rPr>
              <w:t>Dimension</w:t>
            </w:r>
          </w:p>
        </w:tc>
        <w:tc>
          <w:tcPr>
            <w:tcW w:type="dxa" w:w="3672"/>
            <w:shd w:fill="812A86"/>
            <w:tcMar>
              <w:top w:w="90" w:type="dxa"/>
              <w:start w:w="90" w:type="dxa"/>
              <w:bottom w:w="90" w:type="dxa"/>
              <w:end w:w="90" w:type="dxa"/>
            </w:tcMar>
            <w:vAlign w:val="center"/>
          </w:tcPr>
          <w:p>
            <w:pPr>
              <w:jc w:val="center"/>
            </w:pPr>
            <w:r>
              <w:rPr>
                <w:rFonts w:ascii="Liberation Sans" w:hAnsi="Liberation Sans"/>
                <w:b/>
                <w:color w:val="FFFFFF"/>
                <w:sz w:val="16"/>
              </w:rPr>
              <w:t>Typical vertically integrated provider</w:t>
            </w:r>
          </w:p>
        </w:tc>
        <w:tc>
          <w:tcPr>
            <w:tcW w:type="dxa" w:w="3744"/>
            <w:shd w:fill="812A86"/>
            <w:tcMar>
              <w:top w:w="90" w:type="dxa"/>
              <w:start w:w="90" w:type="dxa"/>
              <w:bottom w:w="90" w:type="dxa"/>
              <w:end w:w="90" w:type="dxa"/>
            </w:tcMar>
            <w:vAlign w:val="center"/>
          </w:tcPr>
          <w:p>
            <w:pPr>
              <w:jc w:val="center"/>
            </w:pPr>
            <w:r>
              <w:rPr>
                <w:rFonts w:ascii="Liberation Sans" w:hAnsi="Liberation Sans"/>
                <w:b/>
                <w:color w:val="FFFFFF"/>
                <w:sz w:val="16"/>
              </w:rPr>
              <w:t>Proposed network platform</w:t>
            </w:r>
          </w:p>
        </w:tc>
      </w:tr>
      <w:tr>
        <w:tc>
          <w:tcPr>
            <w:tcW w:type="dxa" w:w="1944"/>
            <w:tcMar>
              <w:top w:w="75" w:type="dxa"/>
              <w:start w:w="80" w:type="dxa"/>
              <w:bottom w:w="75" w:type="dxa"/>
              <w:end w:w="80" w:type="dxa"/>
            </w:tcMar>
            <w:vAlign w:val="center"/>
          </w:tcPr>
          <w:p>
            <w:r>
              <w:rPr>
                <w:rFonts w:ascii="Liberation Sans" w:hAnsi="Liberation Sans"/>
                <w:color w:val="34313A"/>
                <w:sz w:val="16"/>
              </w:rPr>
              <w:t>Provider model</w:t>
            </w:r>
          </w:p>
        </w:tc>
        <w:tc>
          <w:tcPr>
            <w:tcW w:type="dxa" w:w="3672"/>
            <w:tcMar>
              <w:top w:w="75" w:type="dxa"/>
              <w:start w:w="80" w:type="dxa"/>
              <w:bottom w:w="75" w:type="dxa"/>
              <w:end w:w="80" w:type="dxa"/>
            </w:tcMar>
            <w:vAlign w:val="center"/>
          </w:tcPr>
          <w:p>
            <w:r>
              <w:rPr>
                <w:rFonts w:ascii="Liberation Sans" w:hAnsi="Liberation Sans"/>
                <w:color w:val="34313A"/>
                <w:sz w:val="16"/>
              </w:rPr>
              <w:t>Primarily own/affiliated doctors and clinics.</w:t>
            </w:r>
          </w:p>
        </w:tc>
        <w:tc>
          <w:tcPr>
            <w:tcW w:type="dxa" w:w="3744"/>
            <w:tcMar>
              <w:top w:w="75" w:type="dxa"/>
              <w:start w:w="80" w:type="dxa"/>
              <w:bottom w:w="75" w:type="dxa"/>
              <w:end w:w="80" w:type="dxa"/>
            </w:tcMar>
            <w:vAlign w:val="center"/>
          </w:tcPr>
          <w:p>
            <w:r>
              <w:rPr>
                <w:rFonts w:ascii="Liberation Sans" w:hAnsi="Liberation Sans"/>
                <w:color w:val="34313A"/>
                <w:sz w:val="16"/>
              </w:rPr>
              <w:t>Independent verified practitioners and partner facilities.</w:t>
            </w:r>
          </w:p>
        </w:tc>
      </w:tr>
      <w:tr>
        <w:tc>
          <w:tcPr>
            <w:tcW w:type="dxa" w:w="1944"/>
            <w:tcMar>
              <w:top w:w="75" w:type="dxa"/>
              <w:start w:w="80" w:type="dxa"/>
              <w:bottom w:w="75" w:type="dxa"/>
              <w:end w:w="80" w:type="dxa"/>
            </w:tcMar>
            <w:vAlign w:val="center"/>
            <w:shd w:fill="FAF8FB"/>
          </w:tcPr>
          <w:p>
            <w:r>
              <w:rPr>
                <w:rFonts w:ascii="Liberation Sans" w:hAnsi="Liberation Sans"/>
                <w:color w:val="34313A"/>
                <w:sz w:val="16"/>
              </w:rPr>
              <w:t>Patient record</w:t>
            </w:r>
          </w:p>
        </w:tc>
        <w:tc>
          <w:tcPr>
            <w:tcW w:type="dxa" w:w="3672"/>
            <w:tcMar>
              <w:top w:w="75" w:type="dxa"/>
              <w:start w:w="80" w:type="dxa"/>
              <w:bottom w:w="75" w:type="dxa"/>
              <w:end w:w="80" w:type="dxa"/>
            </w:tcMar>
            <w:vAlign w:val="center"/>
            <w:shd w:fill="FAF8FB"/>
          </w:tcPr>
          <w:p>
            <w:r>
              <w:rPr>
                <w:rFonts w:ascii="Liberation Sans" w:hAnsi="Liberation Sans"/>
                <w:color w:val="34313A"/>
                <w:sz w:val="16"/>
              </w:rPr>
              <w:t>Often tied to one provider network.</w:t>
            </w:r>
          </w:p>
        </w:tc>
        <w:tc>
          <w:tcPr>
            <w:tcW w:type="dxa" w:w="3744"/>
            <w:tcMar>
              <w:top w:w="75" w:type="dxa"/>
              <w:start w:w="80" w:type="dxa"/>
              <w:bottom w:w="75" w:type="dxa"/>
              <w:end w:w="80" w:type="dxa"/>
            </w:tcMar>
            <w:vAlign w:val="center"/>
            <w:shd w:fill="FAF8FB"/>
          </w:tcPr>
          <w:p>
            <w:r>
              <w:rPr>
                <w:rFonts w:ascii="Liberation Sans" w:hAnsi="Liberation Sans"/>
                <w:color w:val="34313A"/>
                <w:sz w:val="16"/>
              </w:rPr>
              <w:t>Patient-centred longitudinal record and consented portability.</w:t>
            </w:r>
          </w:p>
        </w:tc>
      </w:tr>
      <w:tr>
        <w:tc>
          <w:tcPr>
            <w:tcW w:type="dxa" w:w="1944"/>
            <w:tcMar>
              <w:top w:w="75" w:type="dxa"/>
              <w:start w:w="80" w:type="dxa"/>
              <w:bottom w:w="75" w:type="dxa"/>
              <w:end w:w="80" w:type="dxa"/>
            </w:tcMar>
            <w:vAlign w:val="center"/>
          </w:tcPr>
          <w:p>
            <w:r>
              <w:rPr>
                <w:rFonts w:ascii="Liberation Sans" w:hAnsi="Liberation Sans"/>
                <w:color w:val="34313A"/>
                <w:sz w:val="16"/>
              </w:rPr>
              <w:t>Fulfilment</w:t>
            </w:r>
          </w:p>
        </w:tc>
        <w:tc>
          <w:tcPr>
            <w:tcW w:type="dxa" w:w="3672"/>
            <w:tcMar>
              <w:top w:w="75" w:type="dxa"/>
              <w:start w:w="80" w:type="dxa"/>
              <w:bottom w:w="75" w:type="dxa"/>
              <w:end w:w="80" w:type="dxa"/>
            </w:tcMar>
            <w:vAlign w:val="center"/>
          </w:tcPr>
          <w:p>
            <w:r>
              <w:rPr>
                <w:rFonts w:ascii="Liberation Sans" w:hAnsi="Liberation Sans"/>
                <w:color w:val="34313A"/>
                <w:sz w:val="16"/>
              </w:rPr>
              <w:t>Own or preferred products/services.</w:t>
            </w:r>
          </w:p>
        </w:tc>
        <w:tc>
          <w:tcPr>
            <w:tcW w:type="dxa" w:w="3744"/>
            <w:tcMar>
              <w:top w:w="75" w:type="dxa"/>
              <w:start w:w="80" w:type="dxa"/>
              <w:bottom w:w="75" w:type="dxa"/>
              <w:end w:w="80" w:type="dxa"/>
            </w:tcMar>
            <w:vAlign w:val="center"/>
          </w:tcPr>
          <w:p>
            <w:r>
              <w:rPr>
                <w:rFonts w:ascii="Liberation Sans" w:hAnsi="Liberation Sans"/>
                <w:color w:val="34313A"/>
                <w:sz w:val="16"/>
              </w:rPr>
              <w:t>Multi-partner fulfilment with governance and clinical neutrality.</w:t>
            </w:r>
          </w:p>
        </w:tc>
      </w:tr>
      <w:tr>
        <w:tc>
          <w:tcPr>
            <w:tcW w:type="dxa" w:w="1944"/>
            <w:tcMar>
              <w:top w:w="75" w:type="dxa"/>
              <w:start w:w="80" w:type="dxa"/>
              <w:bottom w:w="75" w:type="dxa"/>
              <w:end w:w="80" w:type="dxa"/>
            </w:tcMar>
            <w:vAlign w:val="center"/>
            <w:shd w:fill="FAF8FB"/>
          </w:tcPr>
          <w:p>
            <w:r>
              <w:rPr>
                <w:rFonts w:ascii="Liberation Sans" w:hAnsi="Liberation Sans"/>
                <w:color w:val="34313A"/>
                <w:sz w:val="16"/>
              </w:rPr>
              <w:t>Core moat</w:t>
            </w:r>
          </w:p>
        </w:tc>
        <w:tc>
          <w:tcPr>
            <w:tcW w:type="dxa" w:w="3672"/>
            <w:tcMar>
              <w:top w:w="75" w:type="dxa"/>
              <w:start w:w="80" w:type="dxa"/>
              <w:bottom w:w="75" w:type="dxa"/>
              <w:end w:w="80" w:type="dxa"/>
            </w:tcMar>
            <w:vAlign w:val="center"/>
            <w:shd w:fill="FAF8FB"/>
          </w:tcPr>
          <w:p>
            <w:r>
              <w:rPr>
                <w:rFonts w:ascii="Liberation Sans" w:hAnsi="Liberation Sans"/>
                <w:color w:val="34313A"/>
                <w:sz w:val="16"/>
              </w:rPr>
              <w:t>Brand, clinics, products and protocols.</w:t>
            </w:r>
          </w:p>
        </w:tc>
        <w:tc>
          <w:tcPr>
            <w:tcW w:type="dxa" w:w="3744"/>
            <w:tcMar>
              <w:top w:w="75" w:type="dxa"/>
              <w:start w:w="80" w:type="dxa"/>
              <w:bottom w:w="75" w:type="dxa"/>
              <w:end w:w="80" w:type="dxa"/>
            </w:tcMar>
            <w:vAlign w:val="center"/>
            <w:shd w:fill="FAF8FB"/>
          </w:tcPr>
          <w:p>
            <w:r>
              <w:rPr>
                <w:rFonts w:ascii="Liberation Sans" w:hAnsi="Liberation Sans"/>
                <w:color w:val="34313A"/>
                <w:sz w:val="16"/>
              </w:rPr>
              <w:t>Workflow, provider network, care-plan continuity, trust data and interoperability.</w:t>
            </w:r>
          </w:p>
        </w:tc>
      </w:tr>
      <w:tr>
        <w:tc>
          <w:tcPr>
            <w:tcW w:type="dxa" w:w="1944"/>
            <w:tcMar>
              <w:top w:w="75" w:type="dxa"/>
              <w:start w:w="80" w:type="dxa"/>
              <w:bottom w:w="75" w:type="dxa"/>
              <w:end w:w="80" w:type="dxa"/>
            </w:tcMar>
            <w:vAlign w:val="center"/>
          </w:tcPr>
          <w:p>
            <w:r>
              <w:rPr>
                <w:rFonts w:ascii="Liberation Sans" w:hAnsi="Liberation Sans"/>
                <w:color w:val="34313A"/>
                <w:sz w:val="16"/>
              </w:rPr>
              <w:t>B2B software</w:t>
            </w:r>
          </w:p>
        </w:tc>
        <w:tc>
          <w:tcPr>
            <w:tcW w:type="dxa" w:w="3672"/>
            <w:tcMar>
              <w:top w:w="75" w:type="dxa"/>
              <w:start w:w="80" w:type="dxa"/>
              <w:bottom w:w="75" w:type="dxa"/>
              <w:end w:w="80" w:type="dxa"/>
            </w:tcMar>
            <w:vAlign w:val="center"/>
          </w:tcPr>
          <w:p>
            <w:r>
              <w:rPr>
                <w:rFonts w:ascii="Liberation Sans" w:hAnsi="Liberation Sans"/>
                <w:color w:val="34313A"/>
                <w:sz w:val="16"/>
              </w:rPr>
              <w:t>May support internal operations.</w:t>
            </w:r>
          </w:p>
        </w:tc>
        <w:tc>
          <w:tcPr>
            <w:tcW w:type="dxa" w:w="3744"/>
            <w:tcMar>
              <w:top w:w="75" w:type="dxa"/>
              <w:start w:w="80" w:type="dxa"/>
              <w:bottom w:w="75" w:type="dxa"/>
              <w:end w:w="80" w:type="dxa"/>
            </w:tcMar>
            <w:vAlign w:val="center"/>
          </w:tcPr>
          <w:p>
            <w:r>
              <w:rPr>
                <w:rFonts w:ascii="Liberation Sans" w:hAnsi="Liberation Sans"/>
                <w:color w:val="34313A"/>
                <w:sz w:val="16"/>
              </w:rPr>
              <w:t>Doctor/clinic SaaS is a first-class revenue and retention layer.</w:t>
            </w:r>
          </w:p>
        </w:tc>
      </w:tr>
    </w:tbl>
    <w:p>
      <w:pPr>
        <w:spacing w:after="20"/>
      </w:pPr>
    </w:p>
    <w:p>
      <w:pPr>
        <w:spacing w:before="120" w:after="40"/>
      </w:pPr>
      <w:r>
        <w:rPr>
          <w:rFonts w:ascii="Liberation Sans" w:hAnsi="Liberation Sans"/>
          <w:b/>
          <w:color w:val="812A86"/>
          <w:sz w:val="40"/>
        </w:rPr>
        <w:t>24. Example End-to-End Patient Scenario</w:t>
      </w:r>
    </w:p>
    <w:tbl>
      <w:tblPr>
        <w:tblW w:type="auto" w:w="0"/>
        <w:jc w:val="center"/>
        <w:tblLayout w:type="fixed"/>
        <w:tblLook w:firstColumn="1" w:firstRow="1" w:lastColumn="0" w:lastRow="0" w:noHBand="0" w:noVBand="1" w:val="04A0"/>
      </w:tblPr>
      <w:tblGrid>
        <w:gridCol w:w="9648"/>
      </w:tblGrid>
      <w:tr>
        <w:tc>
          <w:tcPr>
            <w:tcW w:type="dxa" w:w="10080"/>
            <w:shd w:fill="FFF3E4"/>
            <w:tcMar>
              <w:top w:w="150" w:type="dxa"/>
              <w:start w:w="180" w:type="dxa"/>
              <w:bottom w:w="150" w:type="dxa"/>
              <w:end w:w="180" w:type="dxa"/>
            </w:tcMar>
          </w:tcPr>
          <w:p>
            <w:r>
              <w:rPr>
                <w:rFonts w:ascii="Liberation Sans" w:hAnsi="Liberation Sans"/>
                <w:b/>
                <w:color w:val="F28A17"/>
                <w:sz w:val="20"/>
              </w:rPr>
              <w:t>Illustrative scenario</w:t>
              <w:br/>
            </w:r>
            <w:r>
              <w:rPr>
                <w:rFonts w:ascii="Liberation Sans" w:hAnsi="Liberation Sans"/>
                <w:color w:val="34313A"/>
                <w:sz w:val="19"/>
              </w:rPr>
              <w:t>A 42-year-old patient seeks Ayurveda care for a non-emergency chronic digestive concern. The scenario below demonstrates product flow only and is not a treatment recommendation.</w:t>
            </w:r>
          </w:p>
        </w:tc>
      </w:tr>
    </w:tbl>
    <w:p>
      <w:pPr>
        <w:spacing w:after="20"/>
      </w:pPr>
    </w:p>
    <w:p>
      <w:pPr>
        <w:spacing w:after="60"/>
        <w:ind w:left="43" w:hanging="43"/>
      </w:pPr>
      <w:r>
        <w:rPr>
          <w:rFonts w:ascii="Liberation Sans" w:hAnsi="Liberation Sans"/>
          <w:color w:val="34313A"/>
          <w:sz w:val="19"/>
        </w:rPr>
        <w:t>1.  Patient registers in Hindi, creates profile and uploads recent reports.</w:t>
      </w:r>
    </w:p>
    <w:p>
      <w:pPr>
        <w:spacing w:after="60"/>
        <w:ind w:left="43" w:hanging="43"/>
      </w:pPr>
      <w:r>
        <w:rPr>
          <w:rFonts w:ascii="Liberation Sans" w:hAnsi="Liberation Sans"/>
          <w:color w:val="34313A"/>
          <w:sz w:val="19"/>
        </w:rPr>
        <w:t>2.  Patient filters verified practitioners who offer Hindi video consultation and books a slot.</w:t>
      </w:r>
    </w:p>
    <w:p>
      <w:pPr>
        <w:spacing w:after="60"/>
        <w:ind w:left="43" w:hanging="43"/>
      </w:pPr>
      <w:r>
        <w:rPr>
          <w:rFonts w:ascii="Liberation Sans" w:hAnsi="Liberation Sans"/>
          <w:color w:val="34313A"/>
          <w:sz w:val="19"/>
        </w:rPr>
        <w:t>3.  Practitioner reviews history, conducts consultation and documents a structured assessment.</w:t>
      </w:r>
    </w:p>
    <w:p>
      <w:pPr>
        <w:spacing w:after="60"/>
        <w:ind w:left="43" w:hanging="43"/>
      </w:pPr>
      <w:r>
        <w:rPr>
          <w:rFonts w:ascii="Liberation Sans" w:hAnsi="Liberation Sans"/>
          <w:color w:val="34313A"/>
          <w:sz w:val="19"/>
        </w:rPr>
        <w:t>4.  Practitioner creates an 8-week Care Plan containing prescribed medicines, diet/lifestyle instructions, selected diagnostic tests and a follow-up date.</w:t>
      </w:r>
    </w:p>
    <w:p>
      <w:pPr>
        <w:spacing w:after="60"/>
        <w:ind w:left="43" w:hanging="43"/>
      </w:pPr>
      <w:r>
        <w:rPr>
          <w:rFonts w:ascii="Liberation Sans" w:hAnsi="Liberation Sans"/>
          <w:color w:val="34313A"/>
          <w:sz w:val="19"/>
        </w:rPr>
        <w:t>5.  Patient chooses a verified lab for home collection and a licensed fulfilment partner for prescribed medicines.</w:t>
      </w:r>
    </w:p>
    <w:p>
      <w:pPr>
        <w:spacing w:after="60"/>
        <w:ind w:left="43" w:hanging="43"/>
      </w:pPr>
      <w:r>
        <w:rPr>
          <w:rFonts w:ascii="Liberation Sans" w:hAnsi="Liberation Sans"/>
          <w:color w:val="34313A"/>
          <w:sz w:val="19"/>
        </w:rPr>
        <w:t>6.  Lab status flows from booked -&gt; collected -&gt; processing -&gt; report available. The practitioner receives a review task.</w:t>
      </w:r>
    </w:p>
    <w:p>
      <w:pPr>
        <w:spacing w:after="60"/>
        <w:ind w:left="43" w:hanging="43"/>
      </w:pPr>
      <w:r>
        <w:rPr>
          <w:rFonts w:ascii="Liberation Sans" w:hAnsi="Liberation Sans"/>
          <w:color w:val="34313A"/>
          <w:sz w:val="19"/>
        </w:rPr>
        <w:t>7.  After reviewing results, practitioner records that no change is required and keeps the existing plan.</w:t>
      </w:r>
    </w:p>
    <w:p>
      <w:pPr>
        <w:spacing w:after="60"/>
        <w:ind w:left="43" w:hanging="43"/>
      </w:pPr>
      <w:r>
        <w:rPr>
          <w:rFonts w:ascii="Liberation Sans" w:hAnsi="Liberation Sans"/>
          <w:color w:val="34313A"/>
          <w:sz w:val="19"/>
        </w:rPr>
        <w:t>8.  At week 3, practitioner recommends a defined therapy course and referral; patient chooses an eligible verified centre based on location and availability.</w:t>
      </w:r>
    </w:p>
    <w:p>
      <w:pPr>
        <w:spacing w:after="60"/>
        <w:ind w:left="43" w:hanging="43"/>
      </w:pPr>
      <w:r>
        <w:rPr>
          <w:rFonts w:ascii="Liberation Sans" w:hAnsi="Liberation Sans"/>
          <w:color w:val="34313A"/>
          <w:sz w:val="19"/>
        </w:rPr>
        <w:t>9.  Centre records each completed session and any exception. Patient sees progress in the same Care Plan timeline.</w:t>
      </w:r>
    </w:p>
    <w:p>
      <w:pPr>
        <w:spacing w:after="60"/>
        <w:ind w:left="43" w:hanging="43"/>
      </w:pPr>
      <w:r>
        <w:rPr>
          <w:rFonts w:ascii="Liberation Sans" w:hAnsi="Liberation Sans"/>
          <w:color w:val="34313A"/>
          <w:sz w:val="19"/>
        </w:rPr>
        <w:t>10.  At week 8, follow-up is completed. Practitioner records outcome, closes or extends the plan, and the patient retains the complete record.</w:t>
      </w:r>
    </w:p>
    <w:p>
      <w:pPr>
        <w:spacing w:before="120" w:after="40"/>
      </w:pPr>
      <w:r>
        <w:rPr>
          <w:rFonts w:ascii="Liberation Sans" w:hAnsi="Liberation Sans"/>
          <w:b/>
          <w:color w:val="812A86"/>
          <w:sz w:val="40"/>
        </w:rPr>
        <w:t>25. Recommended Launch Plan</w:t>
      </w:r>
    </w:p>
    <w:p>
      <w:pPr>
        <w:spacing w:before="160" w:after="80"/>
      </w:pPr>
      <w:r>
        <w:rPr>
          <w:rFonts w:ascii="Liberation Sans" w:hAnsi="Liberation Sans"/>
          <w:b/>
          <w:color w:val="2D94C6"/>
          <w:sz w:val="26"/>
        </w:rPr>
        <w:t>Pilot geography</w:t>
      </w:r>
    </w:p>
    <w:p>
      <w:pPr>
        <w:spacing w:after="100" w:before="0" w:line="269" w:lineRule="auto"/>
      </w:pPr>
      <w:r>
        <w:rPr>
          <w:rFonts w:ascii="Liberation Sans" w:hAnsi="Liberation Sans"/>
          <w:b w:val="0"/>
          <w:color w:val="34313A"/>
          <w:sz w:val="21"/>
        </w:rPr>
        <w:t>Use one tightly managed city/region first. The objective is not maximum downloads; it is to prove reliable orchestration across a small network of excellent practitioners and partners.</w:t>
      </w:r>
    </w:p>
    <w:p>
      <w:pPr>
        <w:spacing w:before="160" w:after="80"/>
      </w:pPr>
      <w:r>
        <w:rPr>
          <w:rFonts w:ascii="Liberation Sans" w:hAnsi="Liberation Sans"/>
          <w:b/>
          <w:color w:val="2D94C6"/>
          <w:sz w:val="26"/>
        </w:rPr>
        <w:t>Illustrative pilot supply</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812A86"/>
            <w:tcMar>
              <w:top w:w="90" w:type="dxa"/>
              <w:start w:w="90" w:type="dxa"/>
              <w:bottom w:w="90" w:type="dxa"/>
              <w:end w:w="90" w:type="dxa"/>
            </w:tcMar>
            <w:vAlign w:val="center"/>
          </w:tcPr>
          <w:p>
            <w:pPr>
              <w:jc w:val="center"/>
            </w:pPr>
            <w:r>
              <w:rPr>
                <w:rFonts w:ascii="Liberation Sans" w:hAnsi="Liberation Sans"/>
                <w:b/>
                <w:color w:val="FFFFFF"/>
                <w:sz w:val="16"/>
              </w:rPr>
              <w:t>Partner type</w:t>
            </w:r>
          </w:p>
        </w:tc>
        <w:tc>
          <w:tcPr>
            <w:tcW w:type="dxa" w:w="1584"/>
            <w:shd w:fill="812A86"/>
            <w:tcMar>
              <w:top w:w="90" w:type="dxa"/>
              <w:start w:w="90" w:type="dxa"/>
              <w:bottom w:w="90" w:type="dxa"/>
              <w:end w:w="90" w:type="dxa"/>
            </w:tcMar>
            <w:vAlign w:val="center"/>
          </w:tcPr>
          <w:p>
            <w:pPr>
              <w:jc w:val="center"/>
            </w:pPr>
            <w:r>
              <w:rPr>
                <w:rFonts w:ascii="Liberation Sans" w:hAnsi="Liberation Sans"/>
                <w:b/>
                <w:color w:val="FFFFFF"/>
                <w:sz w:val="16"/>
              </w:rPr>
              <w:t>Pilot target</w:t>
            </w:r>
          </w:p>
        </w:tc>
        <w:tc>
          <w:tcPr>
            <w:tcW w:type="dxa" w:w="5616"/>
            <w:shd w:fill="812A86"/>
            <w:tcMar>
              <w:top w:w="90" w:type="dxa"/>
              <w:start w:w="90" w:type="dxa"/>
              <w:bottom w:w="90" w:type="dxa"/>
              <w:end w:w="90" w:type="dxa"/>
            </w:tcMar>
            <w:vAlign w:val="center"/>
          </w:tcPr>
          <w:p>
            <w:pPr>
              <w:jc w:val="center"/>
            </w:pPr>
            <w:r>
              <w:rPr>
                <w:rFonts w:ascii="Liberation Sans" w:hAnsi="Liberation Sans"/>
                <w:b/>
                <w:color w:val="FFFFFF"/>
                <w:sz w:val="16"/>
              </w:rPr>
              <w:t>Selection priority</w:t>
            </w:r>
          </w:p>
        </w:tc>
      </w:tr>
      <w:tr>
        <w:tc>
          <w:tcPr>
            <w:tcW w:type="dxa" w:w="2160"/>
            <w:tcMar>
              <w:top w:w="75" w:type="dxa"/>
              <w:start w:w="80" w:type="dxa"/>
              <w:bottom w:w="75" w:type="dxa"/>
              <w:end w:w="80" w:type="dxa"/>
            </w:tcMar>
            <w:vAlign w:val="center"/>
          </w:tcPr>
          <w:p>
            <w:r>
              <w:rPr>
                <w:rFonts w:ascii="Liberation Sans" w:hAnsi="Liberation Sans"/>
                <w:color w:val="34313A"/>
                <w:sz w:val="16"/>
              </w:rPr>
              <w:t>Practitioners</w:t>
            </w:r>
          </w:p>
        </w:tc>
        <w:tc>
          <w:tcPr>
            <w:tcW w:type="dxa" w:w="1584"/>
            <w:tcMar>
              <w:top w:w="75" w:type="dxa"/>
              <w:start w:w="80" w:type="dxa"/>
              <w:bottom w:w="75" w:type="dxa"/>
              <w:end w:w="80" w:type="dxa"/>
            </w:tcMar>
            <w:vAlign w:val="center"/>
          </w:tcPr>
          <w:p>
            <w:r>
              <w:rPr>
                <w:rFonts w:ascii="Liberation Sans" w:hAnsi="Liberation Sans"/>
                <w:color w:val="34313A"/>
                <w:sz w:val="16"/>
              </w:rPr>
              <w:t>10-20</w:t>
            </w:r>
          </w:p>
        </w:tc>
        <w:tc>
          <w:tcPr>
            <w:tcW w:type="dxa" w:w="5616"/>
            <w:tcMar>
              <w:top w:w="75" w:type="dxa"/>
              <w:start w:w="80" w:type="dxa"/>
              <w:bottom w:w="75" w:type="dxa"/>
              <w:end w:w="80" w:type="dxa"/>
            </w:tcMar>
            <w:vAlign w:val="center"/>
          </w:tcPr>
          <w:p>
            <w:r>
              <w:rPr>
                <w:rFonts w:ascii="Liberation Sans" w:hAnsi="Liberation Sans"/>
                <w:color w:val="34313A"/>
                <w:sz w:val="16"/>
              </w:rPr>
              <w:t>Strong registration evidence, communication, digital willingness, follow-up discipline.</w:t>
            </w:r>
          </w:p>
        </w:tc>
      </w:tr>
      <w:tr>
        <w:tc>
          <w:tcPr>
            <w:tcW w:type="dxa" w:w="2160"/>
            <w:tcMar>
              <w:top w:w="75" w:type="dxa"/>
              <w:start w:w="80" w:type="dxa"/>
              <w:bottom w:w="75" w:type="dxa"/>
              <w:end w:w="80" w:type="dxa"/>
            </w:tcMar>
            <w:vAlign w:val="center"/>
            <w:shd w:fill="FAF8FB"/>
          </w:tcPr>
          <w:p>
            <w:r>
              <w:rPr>
                <w:rFonts w:ascii="Liberation Sans" w:hAnsi="Liberation Sans"/>
                <w:color w:val="34313A"/>
                <w:sz w:val="16"/>
              </w:rPr>
              <w:t>Panchakarma centres</w:t>
            </w:r>
          </w:p>
        </w:tc>
        <w:tc>
          <w:tcPr>
            <w:tcW w:type="dxa" w:w="1584"/>
            <w:tcMar>
              <w:top w:w="75" w:type="dxa"/>
              <w:start w:w="80" w:type="dxa"/>
              <w:bottom w:w="75" w:type="dxa"/>
              <w:end w:w="80" w:type="dxa"/>
            </w:tcMar>
            <w:vAlign w:val="center"/>
            <w:shd w:fill="FAF8FB"/>
          </w:tcPr>
          <w:p>
            <w:r>
              <w:rPr>
                <w:rFonts w:ascii="Liberation Sans" w:hAnsi="Liberation Sans"/>
                <w:color w:val="34313A"/>
                <w:sz w:val="16"/>
              </w:rPr>
              <w:t>3-5</w:t>
            </w:r>
          </w:p>
        </w:tc>
        <w:tc>
          <w:tcPr>
            <w:tcW w:type="dxa" w:w="5616"/>
            <w:tcMar>
              <w:top w:w="75" w:type="dxa"/>
              <w:start w:w="80" w:type="dxa"/>
              <w:bottom w:w="75" w:type="dxa"/>
              <w:end w:w="80" w:type="dxa"/>
            </w:tcMar>
            <w:vAlign w:val="center"/>
            <w:shd w:fill="FAF8FB"/>
          </w:tcPr>
          <w:p>
            <w:r>
              <w:rPr>
                <w:rFonts w:ascii="Liberation Sans" w:hAnsi="Liberation Sans"/>
                <w:color w:val="34313A"/>
                <w:sz w:val="16"/>
              </w:rPr>
              <w:t>High facility quality, clear supervision, willingness to document sessions.</w:t>
            </w:r>
          </w:p>
        </w:tc>
      </w:tr>
      <w:tr>
        <w:tc>
          <w:tcPr>
            <w:tcW w:type="dxa" w:w="2160"/>
            <w:tcMar>
              <w:top w:w="75" w:type="dxa"/>
              <w:start w:w="80" w:type="dxa"/>
              <w:bottom w:w="75" w:type="dxa"/>
              <w:end w:w="80" w:type="dxa"/>
            </w:tcMar>
            <w:vAlign w:val="center"/>
          </w:tcPr>
          <w:p>
            <w:r>
              <w:rPr>
                <w:rFonts w:ascii="Liberation Sans" w:hAnsi="Liberation Sans"/>
                <w:color w:val="34313A"/>
                <w:sz w:val="16"/>
              </w:rPr>
              <w:t>Labs</w:t>
            </w:r>
          </w:p>
        </w:tc>
        <w:tc>
          <w:tcPr>
            <w:tcW w:type="dxa" w:w="1584"/>
            <w:tcMar>
              <w:top w:w="75" w:type="dxa"/>
              <w:start w:w="80" w:type="dxa"/>
              <w:bottom w:w="75" w:type="dxa"/>
              <w:end w:w="80" w:type="dxa"/>
            </w:tcMar>
            <w:vAlign w:val="center"/>
          </w:tcPr>
          <w:p>
            <w:r>
              <w:rPr>
                <w:rFonts w:ascii="Liberation Sans" w:hAnsi="Liberation Sans"/>
                <w:color w:val="34313A"/>
                <w:sz w:val="16"/>
              </w:rPr>
              <w:t>1-2</w:t>
            </w:r>
          </w:p>
        </w:tc>
        <w:tc>
          <w:tcPr>
            <w:tcW w:type="dxa" w:w="5616"/>
            <w:tcMar>
              <w:top w:w="75" w:type="dxa"/>
              <w:start w:w="80" w:type="dxa"/>
              <w:bottom w:w="75" w:type="dxa"/>
              <w:end w:w="80" w:type="dxa"/>
            </w:tcMar>
            <w:vAlign w:val="center"/>
          </w:tcPr>
          <w:p>
            <w:r>
              <w:rPr>
                <w:rFonts w:ascii="Liberation Sans" w:hAnsi="Liberation Sans"/>
                <w:color w:val="34313A"/>
                <w:sz w:val="16"/>
              </w:rPr>
              <w:t>Reliable home collection, digital reports, clear TAT and escalation.</w:t>
            </w:r>
          </w:p>
        </w:tc>
      </w:tr>
      <w:tr>
        <w:tc>
          <w:tcPr>
            <w:tcW w:type="dxa" w:w="2160"/>
            <w:tcMar>
              <w:top w:w="75" w:type="dxa"/>
              <w:start w:w="80" w:type="dxa"/>
              <w:bottom w:w="75" w:type="dxa"/>
              <w:end w:w="80" w:type="dxa"/>
            </w:tcMar>
            <w:vAlign w:val="center"/>
            <w:shd w:fill="FAF8FB"/>
          </w:tcPr>
          <w:p>
            <w:r>
              <w:rPr>
                <w:rFonts w:ascii="Liberation Sans" w:hAnsi="Liberation Sans"/>
                <w:color w:val="34313A"/>
                <w:sz w:val="16"/>
              </w:rPr>
              <w:t>Pharmacy/fulfilment</w:t>
            </w:r>
          </w:p>
        </w:tc>
        <w:tc>
          <w:tcPr>
            <w:tcW w:type="dxa" w:w="1584"/>
            <w:tcMar>
              <w:top w:w="75" w:type="dxa"/>
              <w:start w:w="80" w:type="dxa"/>
              <w:bottom w:w="75" w:type="dxa"/>
              <w:end w:w="80" w:type="dxa"/>
            </w:tcMar>
            <w:vAlign w:val="center"/>
            <w:shd w:fill="FAF8FB"/>
          </w:tcPr>
          <w:p>
            <w:r>
              <w:rPr>
                <w:rFonts w:ascii="Liberation Sans" w:hAnsi="Liberation Sans"/>
                <w:color w:val="34313A"/>
                <w:sz w:val="16"/>
              </w:rPr>
              <w:t>1-2</w:t>
            </w:r>
          </w:p>
        </w:tc>
        <w:tc>
          <w:tcPr>
            <w:tcW w:type="dxa" w:w="5616"/>
            <w:tcMar>
              <w:top w:w="75" w:type="dxa"/>
              <w:start w:w="80" w:type="dxa"/>
              <w:bottom w:w="75" w:type="dxa"/>
              <w:end w:w="80" w:type="dxa"/>
            </w:tcMar>
            <w:vAlign w:val="center"/>
            <w:shd w:fill="FAF8FB"/>
          </w:tcPr>
          <w:p>
            <w:r>
              <w:rPr>
                <w:rFonts w:ascii="Liberation Sans" w:hAnsi="Liberation Sans"/>
                <w:color w:val="34313A"/>
                <w:sz w:val="16"/>
              </w:rPr>
              <w:t>Licensed operation, consistent stock, invoicing and delivery integration.</w:t>
            </w:r>
          </w:p>
        </w:tc>
      </w:tr>
    </w:tbl>
    <w:p>
      <w:pPr>
        <w:spacing w:after="20"/>
      </w:pPr>
    </w:p>
    <w:p>
      <w:pPr>
        <w:spacing w:before="160" w:after="80"/>
      </w:pPr>
      <w:r>
        <w:rPr>
          <w:rFonts w:ascii="Liberation Sans" w:hAnsi="Liberation Sans"/>
          <w:b/>
          <w:color w:val="2D94C6"/>
          <w:sz w:val="26"/>
        </w:rPr>
        <w:t>First 90-day hypotheses</w:t>
      </w:r>
    </w:p>
    <w:p>
      <w:pPr>
        <w:pStyle w:val="ListBullet"/>
        <w:spacing w:after="40" w:line="259" w:lineRule="auto"/>
      </w:pPr>
      <w:r>
        <w:rPr>
          <w:rFonts w:ascii="Liberation Sans" w:hAnsi="Liberation Sans"/>
          <w:color w:val="34313A"/>
          <w:sz w:val="19"/>
        </w:rPr>
        <w:t>Patients will complete a structured intake before consultation if it is short and multilingual.</w:t>
      </w:r>
    </w:p>
    <w:p>
      <w:pPr>
        <w:pStyle w:val="ListBullet"/>
        <w:spacing w:after="40" w:line="259" w:lineRule="auto"/>
      </w:pPr>
      <w:r>
        <w:rPr>
          <w:rFonts w:ascii="Liberation Sans" w:hAnsi="Liberation Sans"/>
          <w:color w:val="34313A"/>
          <w:sz w:val="19"/>
        </w:rPr>
        <w:t>Doctors will create structured Care Plans if documentation is faster than existing paper/WhatsApp workflow.</w:t>
      </w:r>
    </w:p>
    <w:p>
      <w:pPr>
        <w:pStyle w:val="ListBullet"/>
        <w:spacing w:after="40" w:line="259" w:lineRule="auto"/>
      </w:pPr>
      <w:r>
        <w:rPr>
          <w:rFonts w:ascii="Liberation Sans" w:hAnsi="Liberation Sans"/>
          <w:color w:val="34313A"/>
          <w:sz w:val="19"/>
        </w:rPr>
        <w:t>A meaningful share of patients will fulfil at least one Care Plan task through the platform.</w:t>
      </w:r>
    </w:p>
    <w:p>
      <w:pPr>
        <w:pStyle w:val="ListBullet"/>
        <w:spacing w:after="40" w:line="259" w:lineRule="auto"/>
      </w:pPr>
      <w:r>
        <w:rPr>
          <w:rFonts w:ascii="Liberation Sans" w:hAnsi="Liberation Sans"/>
          <w:color w:val="34313A"/>
          <w:sz w:val="19"/>
        </w:rPr>
        <w:t>Care coordination will improve follow-up completion enough to justify its operating cost.</w:t>
      </w:r>
    </w:p>
    <w:p>
      <w:pPr>
        <w:pStyle w:val="ListBullet"/>
        <w:spacing w:after="40" w:line="259" w:lineRule="auto"/>
      </w:pPr>
      <w:r>
        <w:rPr>
          <w:rFonts w:ascii="Liberation Sans" w:hAnsi="Liberation Sans"/>
          <w:color w:val="34313A"/>
          <w:sz w:val="19"/>
        </w:rPr>
        <w:t>Partners will share status updates if the workflow directly drives paid business and reduces phone calls.</w:t>
      </w:r>
    </w:p>
    <w:p>
      <w:pPr>
        <w:spacing w:before="160" w:after="80"/>
      </w:pPr>
      <w:r>
        <w:rPr>
          <w:rFonts w:ascii="Liberation Sans" w:hAnsi="Liberation Sans"/>
          <w:b/>
          <w:color w:val="2D94C6"/>
          <w:sz w:val="26"/>
        </w:rPr>
        <w:t>Go / no-go evidence before city expansion</w:t>
      </w:r>
    </w:p>
    <w:p>
      <w:pPr>
        <w:pStyle w:val="ListBullet"/>
        <w:spacing w:after="40" w:line="259" w:lineRule="auto"/>
      </w:pPr>
      <w:r>
        <w:rPr>
          <w:rFonts w:ascii="Liberation Sans" w:hAnsi="Liberation Sans"/>
          <w:color w:val="34313A"/>
          <w:sz w:val="19"/>
        </w:rPr>
        <w:t>High credential-verification completion and low partner-quality exception rate.</w:t>
      </w:r>
    </w:p>
    <w:p>
      <w:pPr>
        <w:pStyle w:val="ListBullet"/>
        <w:spacing w:after="40" w:line="259" w:lineRule="auto"/>
      </w:pPr>
      <w:r>
        <w:rPr>
          <w:rFonts w:ascii="Liberation Sans" w:hAnsi="Liberation Sans"/>
          <w:color w:val="34313A"/>
          <w:sz w:val="19"/>
        </w:rPr>
        <w:t>Stable booking and fulfilment SLAs.</w:t>
      </w:r>
    </w:p>
    <w:p>
      <w:pPr>
        <w:pStyle w:val="ListBullet"/>
        <w:spacing w:after="40" w:line="259" w:lineRule="auto"/>
      </w:pPr>
      <w:r>
        <w:rPr>
          <w:rFonts w:ascii="Liberation Sans" w:hAnsi="Liberation Sans"/>
          <w:color w:val="34313A"/>
          <w:sz w:val="19"/>
        </w:rPr>
        <w:t>Repeat consultations and follow-up completion show genuine care continuity, not one-time lead generation.</w:t>
      </w:r>
    </w:p>
    <w:p>
      <w:pPr>
        <w:pStyle w:val="ListBullet"/>
        <w:spacing w:after="40" w:line="259" w:lineRule="auto"/>
      </w:pPr>
      <w:r>
        <w:rPr>
          <w:rFonts w:ascii="Liberation Sans" w:hAnsi="Liberation Sans"/>
          <w:color w:val="34313A"/>
          <w:sz w:val="19"/>
        </w:rPr>
        <w:t>Positive contribution-margin trajectory after real support and refund costs.</w:t>
      </w:r>
    </w:p>
    <w:p>
      <w:pPr>
        <w:pStyle w:val="ListBullet"/>
        <w:spacing w:after="40" w:line="259" w:lineRule="auto"/>
      </w:pPr>
      <w:r>
        <w:rPr>
          <w:rFonts w:ascii="Liberation Sans" w:hAnsi="Liberation Sans"/>
          <w:color w:val="34313A"/>
          <w:sz w:val="19"/>
        </w:rPr>
        <w:t>No unresolved safety/compliance gaps that would scale with growth.</w:t>
      </w:r>
    </w:p>
    <w:p>
      <w:pPr>
        <w:spacing w:before="120" w:after="40"/>
      </w:pPr>
      <w:r>
        <w:rPr>
          <w:rFonts w:ascii="Liberation Sans" w:hAnsi="Liberation Sans"/>
          <w:b/>
          <w:color w:val="812A86"/>
          <w:sz w:val="40"/>
        </w:rPr>
        <w:t>26. Regulatory &amp; Market Reference Points</w:t>
      </w:r>
    </w:p>
    <w:p>
      <w:pPr>
        <w:spacing w:after="180"/>
      </w:pPr>
      <w:r>
        <w:rPr>
          <w:rFonts w:ascii="Liberation Sans" w:hAnsi="Liberation Sans"/>
          <w:color w:val="6B6470"/>
          <w:sz w:val="19"/>
        </w:rPr>
        <w:t>Selected sources used to ground the blueprint. Requirements must be re-validated before production launch.</w:t>
      </w:r>
    </w:p>
    <w:p>
      <w:pPr>
        <w:spacing w:after="100"/>
      </w:pPr>
      <w:r>
        <w:rPr>
          <w:rFonts w:ascii="Liberation Sans" w:hAnsi="Liberation Sans"/>
          <w:b/>
          <w:color w:val="34313A"/>
          <w:sz w:val="18"/>
        </w:rPr>
        <w:t xml:space="preserve">National Commission for Indian System of Medicine - National Register Notifications: </w:t>
      </w:r>
      <w:hyperlink r:id="rId19">
        <w:r>
          <w:rPr>
            <w:color w:val="2F7A5D"/>
            <w:u w:val="single"/>
          </w:rPr>
          <w:t>https://www.ncismindia.org/national-register-notifications.php</w:t>
        </w:r>
      </w:hyperlink>
    </w:p>
    <w:p>
      <w:pPr>
        <w:spacing w:after="100"/>
      </w:pPr>
      <w:r>
        <w:rPr>
          <w:rFonts w:ascii="Liberation Sans" w:hAnsi="Liberation Sans"/>
          <w:b/>
          <w:color w:val="34313A"/>
          <w:sz w:val="18"/>
        </w:rPr>
        <w:t xml:space="preserve">NCISM - Ethics and Registration Regulations, 2023: </w:t>
      </w:r>
      <w:hyperlink r:id="rId20">
        <w:r>
          <w:rPr>
            <w:color w:val="2F7A5D"/>
            <w:u w:val="single"/>
          </w:rPr>
          <w:t>https://ncismindia.org/The%20National%20Commission%20for%20Indian%20System%20of%20Medicine%20%28Ethics%20and%20Registration%29%20Regulations%2C2023.pdf</w:t>
        </w:r>
      </w:hyperlink>
    </w:p>
    <w:p>
      <w:pPr>
        <w:spacing w:after="100"/>
      </w:pPr>
      <w:r>
        <w:rPr>
          <w:rFonts w:ascii="Liberation Sans" w:hAnsi="Liberation Sans"/>
          <w:b/>
          <w:color w:val="34313A"/>
          <w:sz w:val="18"/>
        </w:rPr>
        <w:t xml:space="preserve">Ayushman Bharat Digital Mission - official portal: </w:t>
      </w:r>
      <w:hyperlink r:id="rId21">
        <w:r>
          <w:rPr>
            <w:color w:val="2F7A5D"/>
            <w:u w:val="single"/>
          </w:rPr>
          <w:t>https://abdm.gov.in/</w:t>
        </w:r>
      </w:hyperlink>
    </w:p>
    <w:p>
      <w:pPr>
        <w:spacing w:after="100"/>
      </w:pPr>
      <w:r>
        <w:rPr>
          <w:rFonts w:ascii="Liberation Sans" w:hAnsi="Liberation Sans"/>
          <w:b/>
          <w:color w:val="34313A"/>
          <w:sz w:val="18"/>
        </w:rPr>
        <w:t xml:space="preserve">ABDM - overview of ABHA, HPR, HFR and UHI: </w:t>
      </w:r>
      <w:hyperlink r:id="rId21">
        <w:r>
          <w:rPr>
            <w:color w:val="2F7A5D"/>
            <w:u w:val="single"/>
          </w:rPr>
          <w:t>https://abdm.gov.in/</w:t>
        </w:r>
      </w:hyperlink>
    </w:p>
    <w:p>
      <w:pPr>
        <w:spacing w:after="100"/>
      </w:pPr>
      <w:r>
        <w:rPr>
          <w:rFonts w:ascii="Liberation Sans" w:hAnsi="Liberation Sans"/>
          <w:b/>
          <w:color w:val="34313A"/>
          <w:sz w:val="18"/>
        </w:rPr>
        <w:t xml:space="preserve">Ministry of Electronics &amp; IT - Digital Personal Data Protection Rules, 2025: </w:t>
      </w:r>
      <w:hyperlink r:id="rId22">
        <w:r>
          <w:rPr>
            <w:color w:val="2F7A5D"/>
            <w:u w:val="single"/>
          </w:rPr>
          <w:t>https://www.meity.gov.in/documents/act-and-policies/digital-personal-data-protection-rules-2025-gDOxUjMtQWa?pageTitle=Digit</w:t>
        </w:r>
      </w:hyperlink>
    </w:p>
    <w:p>
      <w:pPr>
        <w:spacing w:after="100"/>
      </w:pPr>
      <w:r>
        <w:rPr>
          <w:rFonts w:ascii="Liberation Sans" w:hAnsi="Liberation Sans"/>
          <w:b/>
          <w:color w:val="34313A"/>
          <w:sz w:val="18"/>
        </w:rPr>
        <w:t xml:space="preserve">CDSCO - Traditional Drugs / Ayurvedic, Siddha and Unani regulatory information: </w:t>
      </w:r>
      <w:hyperlink r:id="rId23">
        <w:r>
          <w:rPr>
            <w:color w:val="2F7A5D"/>
            <w:u w:val="single"/>
          </w:rPr>
          <w:t>https://www.cdsco.gov.in/opencms/opencms/en/Traditional_Drugs/</w:t>
        </w:r>
      </w:hyperlink>
    </w:p>
    <w:p>
      <w:pPr>
        <w:spacing w:after="100"/>
      </w:pPr>
      <w:r>
        <w:rPr>
          <w:rFonts w:ascii="Liberation Sans" w:hAnsi="Liberation Sans"/>
          <w:b/>
          <w:color w:val="34313A"/>
          <w:sz w:val="18"/>
        </w:rPr>
        <w:t xml:space="preserve">Ministry of Ayush - official portal: </w:t>
      </w:r>
      <w:hyperlink r:id="rId24">
        <w:r>
          <w:rPr>
            <w:color w:val="2F7A5D"/>
            <w:u w:val="single"/>
          </w:rPr>
          <w:t>https://www.ayush.gov.in/</w:t>
        </w:r>
      </w:hyperlink>
    </w:p>
    <w:p>
      <w:pPr>
        <w:spacing w:after="100"/>
      </w:pPr>
      <w:r>
        <w:rPr>
          <w:rFonts w:ascii="Liberation Sans" w:hAnsi="Liberation Sans"/>
          <w:b/>
          <w:color w:val="34313A"/>
          <w:sz w:val="18"/>
        </w:rPr>
        <w:t xml:space="preserve">Jiva Ayurveda - current service model reference: </w:t>
      </w:r>
      <w:hyperlink r:id="rId25">
        <w:r>
          <w:rPr>
            <w:color w:val="2F7A5D"/>
            <w:u w:val="single"/>
          </w:rPr>
          <w:t>https://www.jiva.com/</w:t>
        </w:r>
      </w:hyperlink>
    </w:p>
    <w:p>
      <w:pPr>
        <w:spacing w:before="160" w:after="80"/>
      </w:pPr>
      <w:r>
        <w:rPr>
          <w:rFonts w:ascii="Liberation Sans" w:hAnsi="Liberation Sans"/>
          <w:b/>
          <w:color w:val="2D94C6"/>
          <w:sz w:val="26"/>
        </w:rPr>
        <w:t>Closing product statement</w:t>
      </w:r>
    </w:p>
    <w:tbl>
      <w:tblPr>
        <w:tblW w:type="auto" w:w="0"/>
        <w:jc w:val="center"/>
        <w:tblLayout w:type="fixed"/>
        <w:tblLook w:firstColumn="1" w:firstRow="1" w:lastColumn="0" w:lastRow="0" w:noHBand="0" w:noVBand="1" w:val="04A0"/>
      </w:tblPr>
      <w:tblGrid>
        <w:gridCol w:w="9648"/>
      </w:tblGrid>
      <w:tr>
        <w:tc>
          <w:tcPr>
            <w:tcW w:type="dxa" w:w="10080"/>
            <w:shd w:fill="F5ECF7"/>
            <w:tcMar>
              <w:top w:w="150" w:type="dxa"/>
              <w:start w:w="180" w:type="dxa"/>
              <w:bottom w:w="150" w:type="dxa"/>
              <w:end w:w="180" w:type="dxa"/>
            </w:tcMar>
          </w:tcPr>
          <w:p>
            <w:r>
              <w:rPr>
                <w:rFonts w:ascii="Liberation Sans" w:hAnsi="Liberation Sans"/>
                <w:b/>
                <w:color w:val="2D94C6"/>
                <w:sz w:val="20"/>
              </w:rPr>
              <w:t>The platform thesis</w:t>
              <w:br/>
            </w:r>
            <w:r>
              <w:rPr>
                <w:rFonts w:ascii="Liberation Sans" w:hAnsi="Liberation Sans"/>
                <w:color w:val="34313A"/>
                <w:sz w:val="19"/>
              </w:rPr>
              <w:t>The strongest version of this business is not an “Ayurveda app.” It is a trusted care-orchestration and practice-infrastructure platform that helps qualified practitioners coordinate a patient’s complete journey across consultation, diagnostics, medicines, therapies and follow-up.</w:t>
            </w:r>
          </w:p>
        </w:tc>
      </w:tr>
    </w:tbl>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B6470"/>
        <w:sz w:val="16"/>
      </w:rPr>
      <w:t xml:space="preserve">ABIES  |  Confidential Concept Blueprint  |  September 2026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C6007E"/>
        <w:sz w:val="18"/>
      </w:rPr>
      <w:t>ABIES</w:t>
    </w:r>
    <w:r>
      <w:rPr>
        <w:rFonts w:ascii="Liberation Sans" w:hAnsi="Liberation Sans"/>
        <w:color w:val="6B6470"/>
        <w:sz w:val="17"/>
      </w:rPr>
      <w:t xml:space="preserve">  |  AYURVEDA INTEGRATED CARE PLATFORM  |  PRODUCT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12A8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94C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C6007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812A8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9"/>
    </w:rPr>
  </w:style>
  <w:style w:type="paragraph" w:styleId="ListBullet2">
    <w:name w:val="List Bullet 2"/>
    <w:basedOn w:val="Normal"/>
    <w:uiPriority w:val="99"/>
    <w:unhideWhenUsed/>
    <w:rsid w:val="00326F90"/>
    <w:pPr>
      <w:numPr>
        <w:numId w:val="2"/>
      </w:numPr>
      <w:contextualSpacing/>
    </w:pPr>
    <w:rPr>
      <w:rFonts w:ascii="Liberation Sans" w:hAnsi="Liberation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www.ncismindia.org/national-register-notifications.php" TargetMode="External"/><Relationship Id="rId20" Type="http://schemas.openxmlformats.org/officeDocument/2006/relationships/hyperlink" Target="https://ncismindia.org/The%20National%20Commission%20for%20Indian%20System%20of%20Medicine%20%28Ethics%20and%20Registration%29%20Regulations%2C2023.pdf" TargetMode="External"/><Relationship Id="rId21" Type="http://schemas.openxmlformats.org/officeDocument/2006/relationships/hyperlink" Target="https://abdm.gov.in/" TargetMode="External"/><Relationship Id="rId22" Type="http://schemas.openxmlformats.org/officeDocument/2006/relationships/hyperlink" Target="https://www.meity.gov.in/documents/act-and-policies/digital-personal-data-protection-rules-2025-gDOxUjMtQWa?pageTitle=Digit" TargetMode="External"/><Relationship Id="rId23" Type="http://schemas.openxmlformats.org/officeDocument/2006/relationships/hyperlink" Target="https://www.cdsco.gov.in/opencms/opencms/en/Traditional_Drugs/" TargetMode="External"/><Relationship Id="rId24" Type="http://schemas.openxmlformats.org/officeDocument/2006/relationships/hyperlink" Target="https://www.ayush.gov.in/" TargetMode="External"/><Relationship Id="rId25" Type="http://schemas.openxmlformats.org/officeDocument/2006/relationships/hyperlink" Target="https://www.jiva.com/" TargetMode="External"/><Relationship Id="rId2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Ayurveda Integrated Care Platform - Complete Product Blueprint</dc:title>
  <dc:subject>Prepared for ABIES</dc:subject>
  <dc:creator>python-docx</dc:creator>
  <cp:keywords>ABIES, Ayurveda, digital health, product blueprint, care platform</cp:keywords>
  <dc:description>generated by python-docx</dc:description>
  <cp:lastModifiedBy/>
  <cp:revision>1</cp:revision>
  <dcterms:created xsi:type="dcterms:W3CDTF">2013-12-23T23:15:00Z</dcterms:created>
  <dcterms:modified xsi:type="dcterms:W3CDTF">2013-12-23T23:15:00Z</dcterms:modified>
  <cp:category/>
</cp:coreProperties>
</file>