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40" w:before="240"/>
        <w:jc w:val="center"/>
      </w:pPr>
      <w:r>
        <w:rPr>
          <w:rFonts w:ascii="Arial" w:cs="Arial" w:eastAsia="Arial" w:hAnsi="Arial"/>
          <w:b/>
          <w:bCs/>
          <w:color w:val="FFFFFF"/>
          <w:sz w:val="72"/>
          <w:szCs w:val="72"/>
        </w:rPr>
        <w:t xml:space="preserve">METASPLOITABLE 2</w:t>
      </w:r>
    </w:p>
    <w:p>
      <w:pPr>
        <w:shd w:fill="1A1A2E" w:val="clear"/>
        <w:spacing w:after="40" w:before="0"/>
        <w:jc w:val="center"/>
      </w:pPr>
      <w:r>
        <w:rPr>
          <w:rFonts w:ascii="Consolas" w:cs="Consolas" w:eastAsia="Consolas" w:hAnsi="Consolas"/>
          <w:b/>
          <w:bCs/>
          <w:color w:val="E94560"/>
          <w:sz w:val="36"/>
          <w:szCs w:val="36"/>
        </w:rPr>
        <w:t xml:space="preserve">PENETRATION TEST REPORT</w:t>
      </w:r>
    </w:p>
    <w:p>
      <w:pPr>
        <w:shd w:fill="1A1A2E" w:val="clear"/>
        <w:spacing w:after="80" w:before="40"/>
        <w:jc w:val="center"/>
      </w:pPr>
      <w:r>
        <w:rPr>
          <w:rFonts w:ascii="Consolas" w:cs="Consolas" w:eastAsia="Consolas" w:hAnsi="Consolas"/>
          <w:color w:val="8892B0"/>
          <w:sz w:val="22"/>
          <w:szCs w:val="22"/>
        </w:rPr>
        <w:t xml:space="preserve">Intern ID: 2160</w:t>
      </w:r>
    </w:p>
    <w:p>
      <w:pPr>
        <w:pBdr>
          <w:bottom w:val="single" w:color="E94560" w:sz="8" w:space="6"/>
        </w:pBdr>
        <w:shd w:fill="1A1A2E" w:val="clear"/>
        <w:spacing w:after="200" w:before="0"/>
        <w:jc w:val="center"/>
      </w:pPr>
      <w:r>
        <w:t xml:space="preserve"/>
      </w:r>
    </w:p>
    <w:p>
      <w:pPr>
        <w:pBdr>
          <w:bottom w:val="single" w:color="E94560" w:sz="4" w:space="4"/>
        </w:pBdr>
        <w:spacing w:after="120" w:before="360"/>
      </w:pPr>
      <w:r>
        <w:rPr>
          <w:b/>
          <w:bCs/>
          <w:color w:val="E94560"/>
          <w:sz w:val="32"/>
          <w:szCs w:val="32"/>
        </w:rPr>
        <w:t xml:space="preserve">▌ </w:t>
      </w:r>
      <w:r>
        <w:rPr>
          <w:rFonts w:ascii="Arial" w:cs="Arial" w:eastAsia="Arial" w:hAnsi="Arial"/>
          <w:b/>
          <w:bCs/>
          <w:color w:val="FFFFFF"/>
          <w:sz w:val="32"/>
          <w:szCs w:val="32"/>
        </w:rPr>
        <w:t xml:space="preserve">CORE METASPLOIT COMMANDS</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rPr>
          <w:tblHeader/>
        </w:trPr>
        <w:tc>
          <w:tcPr>
            <w:tcW w:type="dxa" w:w="2500"/>
            <w:tcBorders>
              <w:top w:val="single" w:color="2D3561" w:sz="1"/>
              <w:left w:val="single" w:color="2D3561" w:sz="1"/>
              <w:bottom w:val="single" w:color="2D3561" w:sz="1"/>
              <w:right w:val="single" w:color="2D3561" w:sz="1"/>
            </w:tcBorders>
            <w:shd w:fill="0F3460" w:val="clear"/>
            <w:tcMar>
              <w:top w:type="dxa" w:w="120"/>
              <w:left w:type="dxa" w:w="160"/>
              <w:bottom w:type="dxa" w:w="120"/>
              <w:right w:type="dxa" w:w="160"/>
            </w:tcMar>
            <w:vAlign w:val="center"/>
          </w:tcPr>
          <w:p>
            <w:r>
              <w:rPr>
                <w:rFonts w:ascii="Consolas" w:cs="Consolas" w:eastAsia="Consolas" w:hAnsi="Consolas"/>
                <w:b/>
                <w:bCs/>
                <w:color w:val="FFFFFF"/>
                <w:sz w:val="20"/>
                <w:szCs w:val="20"/>
              </w:rPr>
              <w:t xml:space="preserve">COMMAND</w:t>
            </w:r>
          </w:p>
        </w:tc>
        <w:tc>
          <w:tcPr>
            <w:tcW w:type="dxa" w:w="6580"/>
            <w:tcBorders>
              <w:top w:val="single" w:color="2D3561" w:sz="1"/>
              <w:left w:val="single" w:color="2D3561" w:sz="1"/>
              <w:bottom w:val="single" w:color="2D3561" w:sz="1"/>
              <w:right w:val="single" w:color="2D3561" w:sz="1"/>
            </w:tcBorders>
            <w:shd w:fill="0F3460" w:val="clear"/>
            <w:tcMar>
              <w:top w:type="dxa" w:w="120"/>
              <w:left w:type="dxa" w:w="160"/>
              <w:bottom w:type="dxa" w:w="120"/>
              <w:right w:type="dxa" w:w="160"/>
            </w:tcMar>
            <w:vAlign w:val="center"/>
          </w:tcPr>
          <w:p>
            <w:r>
              <w:rPr>
                <w:rFonts w:ascii="Consolas" w:cs="Consolas" w:eastAsia="Consolas" w:hAnsi="Consolas"/>
                <w:b/>
                <w:bCs/>
                <w:color w:val="FFFFFF"/>
                <w:sz w:val="20"/>
                <w:szCs w:val="20"/>
              </w:rPr>
              <w:t xml:space="preserve">PURPOSE</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58A6FF"/>
                <w:sz w:val="20"/>
                <w:szCs w:val="20"/>
              </w:rPr>
              <w:t xml:space="preserve">msfconsole</w:t>
            </w:r>
          </w:p>
        </w:tc>
        <w:tc>
          <w:tcPr>
            <w:tcW w:type="dxa" w:w="6580"/>
            <w:tcBorders>
              <w:top w:val="single" w:color="2D3561" w:sz="1"/>
              <w:left w:val="single" w:color="2D3561" w:sz="1"/>
              <w:bottom w:val="single" w:color="2D3561" w:sz="1"/>
              <w:right w:val="single" w:color="2D3561" w:sz="1"/>
            </w:tcBorders>
            <w:shd w:fill="1E2235"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Starts the Metasploit hacking framework terminal.</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58A6FF"/>
                <w:sz w:val="20"/>
                <w:szCs w:val="20"/>
              </w:rPr>
              <w:t xml:space="preserve">use &lt;module&gt;</w:t>
            </w:r>
          </w:p>
        </w:tc>
        <w:tc>
          <w:tcPr>
            <w:tcW w:type="dxa" w:w="6580"/>
            <w:tcBorders>
              <w:top w:val="single" w:color="2D3561" w:sz="1"/>
              <w:left w:val="single" w:color="2D3561" w:sz="1"/>
              <w:bottom w:val="single" w:color="2D3561" w:sz="1"/>
              <w:right w:val="single" w:color="2D3561" w:sz="1"/>
            </w:tcBorders>
            <w:shd w:fill="16213E"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Loads the specific attack script for the service you want to target.</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58A6FF"/>
                <w:sz w:val="20"/>
                <w:szCs w:val="20"/>
              </w:rPr>
              <w:t xml:space="preserve">set RHOSTS &lt;IP&gt;</w:t>
            </w:r>
          </w:p>
        </w:tc>
        <w:tc>
          <w:tcPr>
            <w:tcW w:type="dxa" w:w="6580"/>
            <w:tcBorders>
              <w:top w:val="single" w:color="2D3561" w:sz="1"/>
              <w:left w:val="single" w:color="2D3561" w:sz="1"/>
              <w:bottom w:val="single" w:color="2D3561" w:sz="1"/>
              <w:right w:val="single" w:color="2D3561" w:sz="1"/>
            </w:tcBorders>
            <w:shd w:fill="1E2235"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Tells Metasploit the IP address of the victim machine.</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58A6FF"/>
                <w:sz w:val="20"/>
                <w:szCs w:val="20"/>
              </w:rPr>
              <w:t xml:space="preserve">set LHOST &lt;IP&gt;</w:t>
            </w:r>
          </w:p>
        </w:tc>
        <w:tc>
          <w:tcPr>
            <w:tcW w:type="dxa" w:w="6580"/>
            <w:tcBorders>
              <w:top w:val="single" w:color="2D3561" w:sz="1"/>
              <w:left w:val="single" w:color="2D3561" w:sz="1"/>
              <w:bottom w:val="single" w:color="2D3561" w:sz="1"/>
              <w:right w:val="single" w:color="2D3561" w:sz="1"/>
            </w:tcBorders>
            <w:shd w:fill="16213E"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Tells the victim machine where to send the control stream back to.</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58A6FF"/>
                <w:sz w:val="20"/>
                <w:szCs w:val="20"/>
              </w:rPr>
              <w:t xml:space="preserve">set RPORT &lt;Port&gt;</w:t>
            </w:r>
          </w:p>
        </w:tc>
        <w:tc>
          <w:tcPr>
            <w:tcW w:type="dxa" w:w="6580"/>
            <w:tcBorders>
              <w:top w:val="single" w:color="2D3561" w:sz="1"/>
              <w:left w:val="single" w:color="2D3561" w:sz="1"/>
              <w:bottom w:val="single" w:color="2D3561" w:sz="1"/>
              <w:right w:val="single" w:color="2D3561" w:sz="1"/>
            </w:tcBorders>
            <w:shd w:fill="1E2235"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Changes the port if the service isn't running on its default.</w:t>
            </w:r>
          </w:p>
        </w:tc>
      </w:tr>
      <w:tr>
        <w:tc>
          <w:tcPr>
            <w:tcW w:type="dxa" w:w="2500"/>
            <w:tcBorders>
              <w:top w:val="single" w:color="2D3561" w:sz="1"/>
              <w:left w:val="single" w:color="2D3561" w:sz="1"/>
              <w:bottom w:val="single" w:color="2D3561" w:sz="1"/>
              <w:right w:val="single" w:color="2D3561" w:sz="1"/>
            </w:tcBorders>
            <w:shd w:fill="0D1117" w:val="clear"/>
            <w:tcMar>
              <w:top w:type="dxa" w:w="120"/>
              <w:left w:type="dxa" w:w="160"/>
              <w:bottom w:type="dxa" w:w="120"/>
              <w:right w:type="dxa" w:w="160"/>
            </w:tcMar>
            <w:vAlign w:val="center"/>
          </w:tcPr>
          <w:p>
            <w:r>
              <w:rPr>
                <w:rFonts w:ascii="Consolas" w:cs="Consolas" w:eastAsia="Consolas" w:hAnsi="Consolas"/>
                <w:b/>
                <w:bCs/>
                <w:color w:val="E94560"/>
                <w:sz w:val="20"/>
                <w:szCs w:val="20"/>
              </w:rPr>
              <w:t xml:space="preserve">exploit</w:t>
            </w:r>
          </w:p>
        </w:tc>
        <w:tc>
          <w:tcPr>
            <w:tcW w:type="dxa" w:w="6580"/>
            <w:tcBorders>
              <w:top w:val="single" w:color="2D3561" w:sz="1"/>
              <w:left w:val="single" w:color="2D3561" w:sz="1"/>
              <w:bottom w:val="single" w:color="2D3561" w:sz="1"/>
              <w:right w:val="single" w:color="2D3561" w:sz="1"/>
            </w:tcBorders>
            <w:shd w:fill="16213E" w:val="clear"/>
            <w:tcMar>
              <w:top w:type="dxa" w:w="120"/>
              <w:left w:type="dxa" w:w="160"/>
              <w:bottom w:type="dxa" w:w="120"/>
              <w:right w:type="dxa" w:w="160"/>
            </w:tcMar>
            <w:vAlign w:val="center"/>
          </w:tcPr>
          <w:p>
            <w:r>
              <w:rPr>
                <w:rFonts w:ascii="Consolas" w:cs="Consolas" w:eastAsia="Consolas" w:hAnsi="Consolas"/>
                <w:b w:val="false"/>
                <w:bCs w:val="false"/>
                <w:color w:val="E8EAF0"/>
                <w:sz w:val="20"/>
                <w:szCs w:val="20"/>
              </w:rPr>
              <w:t xml:space="preserve">Fires the attack script and opens up your connection to the victim.</w:t>
            </w:r>
          </w:p>
        </w:tc>
      </w:tr>
    </w:tbl>
    <w:p>
      <w:pPr>
        <w:spacing w:after="0" w:before="280"/>
      </w:pPr>
      <w:r>
        <w:t xml:space="preserve"/>
      </w:r>
    </w:p>
    <w:p>
      <w:pPr>
        <w:pBdr>
          <w:bottom w:val="single" w:color="E94560" w:sz="4" w:space="4"/>
        </w:pBdr>
        <w:spacing w:after="120" w:before="360"/>
      </w:pPr>
      <w:r>
        <w:rPr>
          <w:b/>
          <w:bCs/>
          <w:color w:val="E94560"/>
          <w:sz w:val="32"/>
          <w:szCs w:val="32"/>
        </w:rPr>
        <w:t xml:space="preserve">▌ </w:t>
      </w:r>
      <w:r>
        <w:rPr>
          <w:rFonts w:ascii="Arial" w:cs="Arial" w:eastAsia="Arial" w:hAnsi="Arial"/>
          <w:b/>
          <w:bCs/>
          <w:color w:val="FFFFFF"/>
          <w:sz w:val="32"/>
          <w:szCs w:val="32"/>
        </w:rPr>
        <w:t xml:space="preserve">THE 4 ATTACKS</w:t>
      </w:r>
    </w:p>
    <w:p>
      <w:pPr>
        <w:spacing w:after="0" w:before="120"/>
      </w:pPr>
      <w:r>
        <w:t xml:space="preserve"/>
      </w:r>
    </w:p>
    <w:p>
      <w:pPr>
        <w:shd w:fill="0F3460" w:val="clear"/>
        <w:spacing w:after="100" w:before="280"/>
      </w:pPr>
      <w:r>
        <w:rPr>
          <w:rFonts w:ascii="Consolas" w:cs="Consolas" w:eastAsia="Consolas" w:hAnsi="Consolas"/>
          <w:b/>
          <w:bCs/>
          <w:color w:val="E94560"/>
          <w:sz w:val="24"/>
          <w:szCs w:val="24"/>
        </w:rPr>
        <w:t xml:space="preserve">  TARGET 1: </w:t>
      </w:r>
      <w:r>
        <w:rPr>
          <w:rFonts w:ascii="Arial" w:cs="Arial" w:eastAsia="Arial" w:hAnsi="Arial"/>
          <w:b/>
          <w:bCs/>
          <w:color w:val="FFFFFF"/>
          <w:sz w:val="24"/>
          <w:szCs w:val="24"/>
        </w:rPr>
        <w:t xml:space="preserve">UnrealIRCD (Port 6667)</w:t>
      </w:r>
      <w:r>
        <w:rPr>
          <w:rFonts w:ascii="Arial" w:cs="Arial" w:eastAsia="Arial" w:hAnsi="Arial"/>
          <w:i/>
          <w:iCs/>
          <w:color w:val="8892B0"/>
          <w:sz w:val="20"/>
          <w:szCs w:val="20"/>
        </w:rPr>
        <w:t xml:space="preserve">  — The Secret Backdoor</w:t>
      </w:r>
    </w:p>
    <w:p>
      <w:pPr>
        <w:spacing w:after="0" w:before="80"/>
      </w:pPr>
      <w:r>
        <w:t xml:space="preserve"/>
      </w:r>
    </w:p>
    <w:p>
      <w:pPr>
        <w:pStyle w:val="ListParagraph"/>
        <w:numPr>
          <w:ilvl w:val="0"/>
          <w:numId w:val="2"/>
        </w:numPr>
        <w:spacing w:after="60" w:before="60"/>
      </w:pPr>
      <w:r>
        <w:rPr>
          <w:rFonts w:ascii="Arial" w:cs="Arial" w:eastAsia="Arial" w:hAnsi="Arial"/>
          <w:b/>
          <w:bCs/>
          <w:color w:val="E94560"/>
          <w:sz w:val="20"/>
          <w:szCs w:val="20"/>
        </w:rPr>
        <w:t xml:space="preserve">The Flaw: </w:t>
      </w:r>
      <w:r>
        <w:rPr>
          <w:rFonts w:ascii="Arial" w:cs="Arial" w:eastAsia="Arial" w:hAnsi="Arial"/>
          <w:color w:val="E8EAF0"/>
          <w:sz w:val="20"/>
          <w:szCs w:val="20"/>
        </w:rPr>
        <w:t xml:space="preserve">Hackers sneaked a hidden backdoor into this chat software's code long ago. If you send the secret characters AB;, the system opens up and lets you run any command.</w:t>
      </w:r>
    </w:p>
    <w:p>
      <w:pPr>
        <w:pStyle w:val="ListParagraph"/>
        <w:numPr>
          <w:ilvl w:val="0"/>
          <w:numId w:val="2"/>
        </w:numPr>
        <w:spacing w:after="60" w:before="60"/>
      </w:pPr>
      <w:r>
        <w:rPr>
          <w:rFonts w:ascii="Arial" w:cs="Arial" w:eastAsia="Arial" w:hAnsi="Arial"/>
          <w:b/>
          <w:bCs/>
          <w:color w:val="E94560"/>
          <w:sz w:val="20"/>
          <w:szCs w:val="20"/>
        </w:rPr>
        <w:t xml:space="preserve">What we did: </w:t>
      </w:r>
      <w:r>
        <w:rPr>
          <w:rFonts w:ascii="Arial" w:cs="Arial" w:eastAsia="Arial" w:hAnsi="Arial"/>
          <w:color w:val="E8EAF0"/>
          <w:sz w:val="20"/>
          <w:szCs w:val="20"/>
        </w:rPr>
        <w:t xml:space="preserve">We loaded the unreal_ircd module, pointed it at the target, and fired.</w:t>
      </w:r>
    </w:p>
    <w:p>
      <w:pPr>
        <w:pStyle w:val="ListParagraph"/>
        <w:numPr>
          <w:ilvl w:val="0"/>
          <w:numId w:val="2"/>
        </w:numPr>
        <w:spacing w:after="60" w:before="60"/>
      </w:pPr>
      <w:r>
        <w:rPr>
          <w:rFonts w:ascii="Arial" w:cs="Arial" w:eastAsia="Arial" w:hAnsi="Arial"/>
          <w:b/>
          <w:bCs/>
          <w:color w:val="E94560"/>
          <w:sz w:val="20"/>
          <w:szCs w:val="20"/>
        </w:rPr>
        <w:t xml:space="preserve">The Result: </w:t>
      </w:r>
      <w:r>
        <w:rPr>
          <w:rFonts w:ascii="Arial" w:cs="Arial" w:eastAsia="Arial" w:hAnsi="Arial"/>
          <w:color w:val="E8EAF0"/>
          <w:sz w:val="20"/>
          <w:szCs w:val="20"/>
        </w:rPr>
        <w:t xml:space="preserve">It gave us a Meterpreter session (a hacker control menu). We typed shell to get a normal Linux command line, and whoami proved we were root.</w:t>
      </w:r>
    </w:p>
    <w:p>
      <w:pPr>
        <w:spacing w:after="0" w:before="80"/>
      </w:pPr>
      <w:r>
        <w:t xml:space="preserve"/>
      </w:r>
    </w:p>
    <w:p>
      <w:pPr>
        <w:spacing w:after="80" w:before="80"/>
      </w:pPr>
      <w:r>
        <w:drawing>
          <wp:inline distT="0" distB="0" distL="0" distR="0">
            <wp:extent cx="5524500" cy="2514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14356"/>
                    </a:xfrm>
                    <a:prstGeom prst="rect">
                      <a:avLst/>
                    </a:prstGeom>
                  </pic:spPr>
                </pic:pic>
              </a:graphicData>
            </a:graphic>
          </wp:inline>
        </w:drawing>
      </w:r>
    </w:p>
    <w:p>
      <w:pPr>
        <w:spacing w:after="0" w:before="180"/>
      </w:pPr>
      <w:r>
        <w:t xml:space="preserve"/>
      </w:r>
    </w:p>
    <w:p>
      <w:pPr>
        <w:shd w:fill="0F3460" w:val="clear"/>
        <w:spacing w:after="100" w:before="280"/>
      </w:pPr>
      <w:r>
        <w:rPr>
          <w:rFonts w:ascii="Consolas" w:cs="Consolas" w:eastAsia="Consolas" w:hAnsi="Consolas"/>
          <w:b/>
          <w:bCs/>
          <w:color w:val="E94560"/>
          <w:sz w:val="24"/>
          <w:szCs w:val="24"/>
        </w:rPr>
        <w:t xml:space="preserve">  TARGET 2: </w:t>
      </w:r>
      <w:r>
        <w:rPr>
          <w:rFonts w:ascii="Arial" w:cs="Arial" w:eastAsia="Arial" w:hAnsi="Arial"/>
          <w:b/>
          <w:bCs/>
          <w:color w:val="FFFFFF"/>
          <w:sz w:val="24"/>
          <w:szCs w:val="24"/>
        </w:rPr>
        <w:t xml:space="preserve">Samba (Port 139 / 445)</w:t>
      </w:r>
      <w:r>
        <w:rPr>
          <w:rFonts w:ascii="Arial" w:cs="Arial" w:eastAsia="Arial" w:hAnsi="Arial"/>
          <w:i/>
          <w:iCs/>
          <w:color w:val="8892B0"/>
          <w:sz w:val="20"/>
          <w:szCs w:val="20"/>
        </w:rPr>
        <w:t xml:space="preserve">  — The Username Trick</w:t>
      </w:r>
    </w:p>
    <w:p>
      <w:pPr>
        <w:spacing w:after="0" w:before="80"/>
      </w:pPr>
      <w:r>
        <w:t xml:space="preserve"/>
      </w:r>
    </w:p>
    <w:p>
      <w:pPr>
        <w:pStyle w:val="ListParagraph"/>
        <w:numPr>
          <w:ilvl w:val="0"/>
          <w:numId w:val="2"/>
        </w:numPr>
        <w:spacing w:after="60" w:before="60"/>
      </w:pPr>
      <w:r>
        <w:rPr>
          <w:rFonts w:ascii="Arial" w:cs="Arial" w:eastAsia="Arial" w:hAnsi="Arial"/>
          <w:b/>
          <w:bCs/>
          <w:color w:val="E94560"/>
          <w:sz w:val="20"/>
          <w:szCs w:val="20"/>
        </w:rPr>
        <w:t xml:space="preserve">The Flaw: </w:t>
      </w:r>
      <w:r>
        <w:rPr>
          <w:rFonts w:ascii="Arial" w:cs="Arial" w:eastAsia="Arial" w:hAnsi="Arial"/>
          <w:color w:val="E8EAF0"/>
          <w:sz w:val="20"/>
          <w:szCs w:val="20"/>
        </w:rPr>
        <w:t xml:space="preserve">This file-sharing service gets confused if a username contains weird code characters. Instead of checking the name, it accidentally executes the weird characters as a system command.</w:t>
      </w:r>
    </w:p>
    <w:p>
      <w:pPr>
        <w:pStyle w:val="ListParagraph"/>
        <w:numPr>
          <w:ilvl w:val="0"/>
          <w:numId w:val="2"/>
        </w:numPr>
        <w:spacing w:after="60" w:before="60"/>
      </w:pPr>
      <w:r>
        <w:rPr>
          <w:rFonts w:ascii="Arial" w:cs="Arial" w:eastAsia="Arial" w:hAnsi="Arial"/>
          <w:b/>
          <w:bCs/>
          <w:color w:val="E94560"/>
          <w:sz w:val="20"/>
          <w:szCs w:val="20"/>
        </w:rPr>
        <w:t xml:space="preserve">What we did: </w:t>
      </w:r>
      <w:r>
        <w:rPr>
          <w:rFonts w:ascii="Arial" w:cs="Arial" w:eastAsia="Arial" w:hAnsi="Arial"/>
          <w:color w:val="E8EAF0"/>
          <w:sz w:val="20"/>
          <w:szCs w:val="20"/>
        </w:rPr>
        <w:t xml:space="preserve">We ran the usermap_script module against the target IP.</w:t>
      </w:r>
    </w:p>
    <w:p>
      <w:pPr>
        <w:pStyle w:val="ListParagraph"/>
        <w:numPr>
          <w:ilvl w:val="0"/>
          <w:numId w:val="2"/>
        </w:numPr>
        <w:spacing w:after="60" w:before="60"/>
      </w:pPr>
      <w:r>
        <w:rPr>
          <w:rFonts w:ascii="Arial" w:cs="Arial" w:eastAsia="Arial" w:hAnsi="Arial"/>
          <w:b/>
          <w:bCs/>
          <w:color w:val="E94560"/>
          <w:sz w:val="20"/>
          <w:szCs w:val="20"/>
        </w:rPr>
        <w:t xml:space="preserve">The Result: </w:t>
      </w:r>
      <w:r>
        <w:rPr>
          <w:rFonts w:ascii="Arial" w:cs="Arial" w:eastAsia="Arial" w:hAnsi="Arial"/>
          <w:color w:val="E8EAF0"/>
          <w:sz w:val="20"/>
          <w:szCs w:val="20"/>
        </w:rPr>
        <w:t xml:space="preserve">The victim system ran our hidden command blindly. Because file-sharing software runs with high privileges, it instantly handed us a terminal prompt as root.</w:t>
      </w:r>
    </w:p>
    <w:p>
      <w:pPr>
        <w:spacing w:after="0" w:before="80"/>
      </w:pPr>
      <w:r>
        <w:t xml:space="preserve"/>
      </w:r>
    </w:p>
    <w:p>
      <w:pPr>
        <w:spacing w:after="80" w:before="80"/>
      </w:pPr>
      <w:r>
        <w:drawing>
          <wp:inline distT="0" distB="0" distL="0" distR="0">
            <wp:extent cx="5524500" cy="39783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978335"/>
                    </a:xfrm>
                    <a:prstGeom prst="rect">
                      <a:avLst/>
                    </a:prstGeom>
                  </pic:spPr>
                </pic:pic>
              </a:graphicData>
            </a:graphic>
          </wp:inline>
        </w:drawing>
      </w:r>
    </w:p>
    <w:p>
      <w:pPr>
        <w:spacing w:after="0" w:before="80"/>
      </w:pPr>
      <w:r>
        <w:t xml:space="preserve"/>
      </w:r>
    </w:p>
    <w:p>
      <w:pPr>
        <w:spacing w:after="80" w:before="80"/>
      </w:pPr>
      <w:r>
        <w:drawing>
          <wp:inline distT="0" distB="0" distL="0" distR="0">
            <wp:extent cx="5524500" cy="33923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92389"/>
                    </a:xfrm>
                    <a:prstGeom prst="rect">
                      <a:avLst/>
                    </a:prstGeom>
                  </pic:spPr>
                </pic:pic>
              </a:graphicData>
            </a:graphic>
          </wp:inline>
        </w:drawing>
      </w:r>
    </w:p>
    <w:p>
      <w:pPr>
        <w:spacing w:after="0" w:before="180"/>
      </w:pPr>
      <w:r>
        <w:t xml:space="preserve"/>
      </w:r>
    </w:p>
    <w:p>
      <w:pPr>
        <w:shd w:fill="0F3460" w:val="clear"/>
        <w:spacing w:after="100" w:before="280"/>
      </w:pPr>
      <w:r>
        <w:rPr>
          <w:rFonts w:ascii="Consolas" w:cs="Consolas" w:eastAsia="Consolas" w:hAnsi="Consolas"/>
          <w:b/>
          <w:bCs/>
          <w:color w:val="E94560"/>
          <w:sz w:val="24"/>
          <w:szCs w:val="24"/>
        </w:rPr>
        <w:t xml:space="preserve">  TARGET 3: </w:t>
      </w:r>
      <w:r>
        <w:rPr>
          <w:rFonts w:ascii="Arial" w:cs="Arial" w:eastAsia="Arial" w:hAnsi="Arial"/>
          <w:b/>
          <w:bCs/>
          <w:color w:val="FFFFFF"/>
          <w:sz w:val="24"/>
          <w:szCs w:val="24"/>
        </w:rPr>
        <w:t xml:space="preserve">Java RMI (Port 1099)</w:t>
      </w:r>
      <w:r>
        <w:rPr>
          <w:rFonts w:ascii="Arial" w:cs="Arial" w:eastAsia="Arial" w:hAnsi="Arial"/>
          <w:i/>
          <w:iCs/>
          <w:color w:val="8892B0"/>
          <w:sz w:val="20"/>
          <w:szCs w:val="20"/>
        </w:rPr>
        <w:t xml:space="preserve">  — The Blind Trust Flaw</w:t>
      </w:r>
    </w:p>
    <w:p>
      <w:pPr>
        <w:spacing w:after="0" w:before="80"/>
      </w:pPr>
      <w:r>
        <w:t xml:space="preserve"/>
      </w:r>
    </w:p>
    <w:p>
      <w:pPr>
        <w:pStyle w:val="ListParagraph"/>
        <w:numPr>
          <w:ilvl w:val="0"/>
          <w:numId w:val="2"/>
        </w:numPr>
        <w:spacing w:after="60" w:before="60"/>
      </w:pPr>
      <w:r>
        <w:rPr>
          <w:rFonts w:ascii="Arial" w:cs="Arial" w:eastAsia="Arial" w:hAnsi="Arial"/>
          <w:b/>
          <w:bCs/>
          <w:color w:val="E94560"/>
          <w:sz w:val="20"/>
          <w:szCs w:val="20"/>
        </w:rPr>
        <w:t xml:space="preserve">The Flaw: </w:t>
      </w:r>
      <w:r>
        <w:rPr>
          <w:rFonts w:ascii="Arial" w:cs="Arial" w:eastAsia="Arial" w:hAnsi="Arial"/>
          <w:color w:val="E8EAF0"/>
          <w:sz w:val="20"/>
          <w:szCs w:val="20"/>
        </w:rPr>
        <w:t xml:space="preserve">Bad settings. The Java setup on the victim machine was configured to completely trust anyone on the network. It would accept and run any code file sent to it without asking for a password.</w:t>
      </w:r>
    </w:p>
    <w:p>
      <w:pPr>
        <w:pStyle w:val="ListParagraph"/>
        <w:numPr>
          <w:ilvl w:val="0"/>
          <w:numId w:val="2"/>
        </w:numPr>
        <w:spacing w:after="60" w:before="60"/>
      </w:pPr>
      <w:r>
        <w:rPr>
          <w:rFonts w:ascii="Arial" w:cs="Arial" w:eastAsia="Arial" w:hAnsi="Arial"/>
          <w:b/>
          <w:bCs/>
          <w:color w:val="E94560"/>
          <w:sz w:val="20"/>
          <w:szCs w:val="20"/>
        </w:rPr>
        <w:t xml:space="preserve">What we did: </w:t>
      </w:r>
      <w:r>
        <w:rPr>
          <w:rFonts w:ascii="Arial" w:cs="Arial" w:eastAsia="Arial" w:hAnsi="Arial"/>
          <w:color w:val="E8EAF0"/>
          <w:sz w:val="20"/>
          <w:szCs w:val="20"/>
        </w:rPr>
        <w:t xml:space="preserve">We used the java_rmi_server module and told it to send a heavy-duty "Meterpreter" control payload.</w:t>
      </w:r>
    </w:p>
    <w:p>
      <w:pPr>
        <w:pStyle w:val="ListParagraph"/>
        <w:numPr>
          <w:ilvl w:val="0"/>
          <w:numId w:val="2"/>
        </w:numPr>
        <w:spacing w:after="60" w:before="60"/>
      </w:pPr>
      <w:r>
        <w:rPr>
          <w:rFonts w:ascii="Arial" w:cs="Arial" w:eastAsia="Arial" w:hAnsi="Arial"/>
          <w:b/>
          <w:bCs/>
          <w:color w:val="E94560"/>
          <w:sz w:val="20"/>
          <w:szCs w:val="20"/>
        </w:rPr>
        <w:t xml:space="preserve">The Result: </w:t>
      </w:r>
      <w:r>
        <w:rPr>
          <w:rFonts w:ascii="Arial" w:cs="Arial" w:eastAsia="Arial" w:hAnsi="Arial"/>
          <w:color w:val="E8EAF0"/>
          <w:sz w:val="20"/>
          <w:szCs w:val="20"/>
        </w:rPr>
        <w:t xml:space="preserve">The system ran our code without a second thought. We used the sysinfo command to peek inside the system configuration directly through its Java framework.</w:t>
      </w:r>
    </w:p>
    <w:p>
      <w:pPr>
        <w:spacing w:after="0" w:before="80"/>
      </w:pPr>
      <w:r>
        <w:t xml:space="preserve"/>
      </w:r>
    </w:p>
    <w:p>
      <w:pPr>
        <w:spacing w:after="80" w:before="80"/>
      </w:pPr>
      <w:r>
        <w:drawing>
          <wp:inline distT="0" distB="0" distL="0" distR="0">
            <wp:extent cx="5524500" cy="35922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92243"/>
                    </a:xfrm>
                    <a:prstGeom prst="rect">
                      <a:avLst/>
                    </a:prstGeom>
                  </pic:spPr>
                </pic:pic>
              </a:graphicData>
            </a:graphic>
          </wp:inline>
        </w:drawing>
      </w:r>
    </w:p>
    <w:p>
      <w:pPr>
        <w:spacing w:after="0" w:before="180"/>
      </w:pPr>
      <w:r>
        <w:t xml:space="preserve"/>
      </w:r>
    </w:p>
    <w:p>
      <w:pPr>
        <w:shd w:fill="0F3460" w:val="clear"/>
        <w:spacing w:after="100" w:before="280"/>
      </w:pPr>
      <w:r>
        <w:rPr>
          <w:rFonts w:ascii="Consolas" w:cs="Consolas" w:eastAsia="Consolas" w:hAnsi="Consolas"/>
          <w:b/>
          <w:bCs/>
          <w:color w:val="E94560"/>
          <w:sz w:val="24"/>
          <w:szCs w:val="24"/>
        </w:rPr>
        <w:t xml:space="preserve">  TARGET 4: </w:t>
      </w:r>
      <w:r>
        <w:rPr>
          <w:rFonts w:ascii="Arial" w:cs="Arial" w:eastAsia="Arial" w:hAnsi="Arial"/>
          <w:b/>
          <w:bCs/>
          <w:color w:val="FFFFFF"/>
          <w:sz w:val="24"/>
          <w:szCs w:val="24"/>
        </w:rPr>
        <w:t xml:space="preserve">Tomcat Manager (Port 8180)</w:t>
      </w:r>
      <w:r>
        <w:rPr>
          <w:rFonts w:ascii="Arial" w:cs="Arial" w:eastAsia="Arial" w:hAnsi="Arial"/>
          <w:i/>
          <w:iCs/>
          <w:color w:val="8892B0"/>
          <w:sz w:val="20"/>
          <w:szCs w:val="20"/>
        </w:rPr>
        <w:t xml:space="preserve">  — The Guessable Password</w:t>
      </w:r>
    </w:p>
    <w:p>
      <w:pPr>
        <w:spacing w:after="0" w:before="80"/>
      </w:pPr>
      <w:r>
        <w:t xml:space="preserve"/>
      </w:r>
    </w:p>
    <w:p>
      <w:pPr>
        <w:pStyle w:val="ListParagraph"/>
        <w:numPr>
          <w:ilvl w:val="0"/>
          <w:numId w:val="2"/>
        </w:numPr>
        <w:spacing w:after="60" w:before="60"/>
      </w:pPr>
      <w:r>
        <w:rPr>
          <w:rFonts w:ascii="Arial" w:cs="Arial" w:eastAsia="Arial" w:hAnsi="Arial"/>
          <w:b/>
          <w:bCs/>
          <w:color w:val="E94560"/>
          <w:sz w:val="20"/>
          <w:szCs w:val="20"/>
        </w:rPr>
        <w:t xml:space="preserve">The Flaw: </w:t>
      </w:r>
      <w:r>
        <w:rPr>
          <w:rFonts w:ascii="Arial" w:cs="Arial" w:eastAsia="Arial" w:hAnsi="Arial"/>
          <w:color w:val="E8EAF0"/>
          <w:sz w:val="20"/>
          <w:szCs w:val="20"/>
        </w:rPr>
        <w:t xml:space="preserve">The website's administrator dashboard was left wide open using the factory-default username and password: tomcat / tomcat.</w:t>
      </w:r>
    </w:p>
    <w:p>
      <w:pPr>
        <w:pStyle w:val="ListParagraph"/>
        <w:numPr>
          <w:ilvl w:val="0"/>
          <w:numId w:val="2"/>
        </w:numPr>
        <w:spacing w:after="60" w:before="60"/>
      </w:pPr>
      <w:r>
        <w:rPr>
          <w:rFonts w:ascii="Arial" w:cs="Arial" w:eastAsia="Arial" w:hAnsi="Arial"/>
          <w:b/>
          <w:bCs/>
          <w:color w:val="E94560"/>
          <w:sz w:val="20"/>
          <w:szCs w:val="20"/>
        </w:rPr>
        <w:t xml:space="preserve">What we did: </w:t>
      </w:r>
      <w:r>
        <w:rPr>
          <w:rFonts w:ascii="Arial" w:cs="Arial" w:eastAsia="Arial" w:hAnsi="Arial"/>
          <w:color w:val="E8EAF0"/>
          <w:sz w:val="20"/>
          <w:szCs w:val="20"/>
        </w:rPr>
        <w:t xml:space="preserve">We told Metasploit to target port 8180, gave it the default credentials, and told it to upload a malicious application file (.war).</w:t>
      </w:r>
    </w:p>
    <w:p>
      <w:pPr>
        <w:pStyle w:val="ListParagraph"/>
        <w:numPr>
          <w:ilvl w:val="0"/>
          <w:numId w:val="2"/>
        </w:numPr>
        <w:spacing w:after="60" w:before="60"/>
      </w:pPr>
      <w:r>
        <w:rPr>
          <w:rFonts w:ascii="Arial" w:cs="Arial" w:eastAsia="Arial" w:hAnsi="Arial"/>
          <w:b/>
          <w:bCs/>
          <w:color w:val="E94560"/>
          <w:sz w:val="20"/>
          <w:szCs w:val="20"/>
        </w:rPr>
        <w:t xml:space="preserve">The Result: </w:t>
      </w:r>
      <w:r>
        <w:rPr>
          <w:rFonts w:ascii="Arial" w:cs="Arial" w:eastAsia="Arial" w:hAnsi="Arial"/>
          <w:color w:val="E8EAF0"/>
          <w:sz w:val="20"/>
          <w:szCs w:val="20"/>
        </w:rPr>
        <w:t xml:space="preserve">The website server accepted the file and ran it for us. This gave us a control shell inside the website's background folder, with all the access rights of the Tomcat application.</w:t>
      </w:r>
    </w:p>
    <w:p>
      <w:pPr>
        <w:spacing w:after="0" w:before="80"/>
      </w:pPr>
      <w:r>
        <w:t xml:space="preserve"/>
      </w:r>
    </w:p>
    <w:p>
      <w:pPr>
        <w:spacing w:after="80" w:before="80"/>
      </w:pPr>
      <w:r>
        <w:drawing>
          <wp:inline distT="0" distB="0" distL="0" distR="0">
            <wp:extent cx="5524500" cy="36262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26251"/>
                    </a:xfrm>
                    <a:prstGeom prst="rect">
                      <a:avLst/>
                    </a:prstGeom>
                  </pic:spPr>
                </pic:pic>
              </a:graphicData>
            </a:graphic>
          </wp:inline>
        </w:drawing>
      </w:r>
    </w:p>
    <w:p>
      <w:pPr>
        <w:spacing w:after="0" w:before="80"/>
      </w:pPr>
      <w:r>
        <w:t xml:space="preserve"/>
      </w:r>
    </w:p>
    <w:p>
      <w:pPr>
        <w:spacing w:after="80" w:before="80"/>
      </w:pPr>
      <w:r>
        <w:drawing>
          <wp:inline distT="0" distB="0" distL="0" distR="0">
            <wp:extent cx="5524500" cy="34142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14209"/>
                    </a:xfrm>
                    <a:prstGeom prst="rect">
                      <a:avLst/>
                    </a:prstGeom>
                  </pic:spPr>
                </pic:pic>
              </a:graphicData>
            </a:graphic>
          </wp:inline>
        </w:drawing>
      </w:r>
    </w:p>
    <w:p>
      <w:pPr>
        <w:spacing w:after="0" w:before="300"/>
      </w:pPr>
      <w:r>
        <w:t xml:space="preserve"/>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pBdr>
      <w:shd w:fill="1A1A2E" w:val="clear"/>
      <w:spacing w:before="80"/>
    </w:pPr>
    <w:r>
      <w:rPr>
        <w:rFonts w:ascii="Consolas" w:cs="Consolas" w:eastAsia="Consolas" w:hAnsi="Consolas"/>
        <w:color w:val="8892B0"/>
        <w:sz w:val="16"/>
        <w:szCs w:val="16"/>
      </w:rPr>
      <w:t xml:space="preserve">© Intern 2160  |  For authorized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pBdr>
      <w:shd w:fill="1A1A2E" w:val="clear"/>
      <w:spacing w:after="120" w:before="0"/>
    </w:pPr>
    <w:r>
      <w:rPr>
        <w:rFonts w:ascii="Consolas" w:cs="Consolas" w:eastAsia="Consolas" w:hAnsi="Consolas"/>
        <w:b/>
        <w:bCs/>
        <w:color w:val="FFFFFF"/>
        <w:sz w:val="22"/>
        <w:szCs w:val="22"/>
      </w:rPr>
      <w:t xml:space="preserve">METASPLOITABLE 2 — PENETRATION TEST REPORT</w:t>
    </w:r>
    <w:r>
      <w:rPr>
        <w:rFonts w:ascii="Consolas" w:cs="Consolas" w:eastAsia="Consolas" w:hAnsi="Consolas"/>
        <w:color w:val="8892B0"/>
        <w:sz w:val="18"/>
        <w:szCs w:val="18"/>
      </w:rPr>
      <w:t xml:space="preserve">    |    INTERN: 2160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A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74fc4a3f8f8f63d6093cad6b5abddcdce6df3d.png"/><Relationship Id="rId10" Type="http://schemas.openxmlformats.org/officeDocument/2006/relationships/image" Target="media/13b1924d0b538e65361ced38e189d6d5f4fb6ed2.png"/><Relationship Id="rId11" Type="http://schemas.openxmlformats.org/officeDocument/2006/relationships/image" Target="media/fab35feac823648ebde7c33d85d0d1dde83fa352.png"/><Relationship Id="rId12" Type="http://schemas.openxmlformats.org/officeDocument/2006/relationships/image" Target="media/bbc1fac7b77ac979a4dd6dac4e3f2c7f3e91fe9f.png"/><Relationship Id="rId13" Type="http://schemas.openxmlformats.org/officeDocument/2006/relationships/image" Target="media/9e939754688906be7d8f1bd6df66f64d1cc2fa36.png"/><Relationship Id="rId14" Type="http://schemas.openxmlformats.org/officeDocument/2006/relationships/image" Target="media/6f470379f5cc5e8509d6dfffece0a09df22eed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2026-06-19T12:43:29.483Z</dcterms:created>
  <dcterms:modified xsi:type="dcterms:W3CDTF">2026-06-19T12:43:29.484Z</dcterms:modified>
</cp:coreProperties>
</file>

<file path=docProps/custom.xml><?xml version="1.0" encoding="utf-8"?>
<Properties xmlns="http://schemas.openxmlformats.org/officeDocument/2006/custom-properties" xmlns:vt="http://schemas.openxmlformats.org/officeDocument/2006/docPropsVTypes"/>
</file>