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color w:val="auto"/>
          <w:spacing w:val="0"/>
          <w:position w:val="0"/>
          <w:sz w:val="20"/>
          <w:shd w:fill="0D1B3E" w:val="clear"/>
        </w:rPr>
      </w:pPr>
      <w:r>
        <w:rPr>
          <w:rFonts w:ascii="Calibri" w:hAnsi="Calibri" w:cs="Calibri" w:eastAsia="Calibri"/>
          <w:color w:val="auto"/>
          <w:spacing w:val="0"/>
          <w:position w:val="0"/>
          <w:sz w:val="40"/>
          <w:shd w:fill="0D1B3E" w:val="clear"/>
        </w:rPr>
        <w:t xml:space="preserve">  </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80" w:line="240"/>
        <w:ind w:right="0" w:left="0" w:firstLine="0"/>
        <w:jc w:val="center"/>
        <w:rPr>
          <w:rFonts w:ascii="Calibri" w:hAnsi="Calibri" w:cs="Calibri" w:eastAsia="Calibri"/>
          <w:color w:val="auto"/>
          <w:spacing w:val="0"/>
          <w:position w:val="0"/>
          <w:sz w:val="20"/>
          <w:shd w:fill="auto" w:val="clear"/>
        </w:rPr>
      </w:pPr>
      <w:r>
        <w:rPr>
          <w:rFonts w:ascii="Montserrat" w:hAnsi="Montserrat" w:cs="Montserrat" w:eastAsia="Montserrat"/>
          <w:b/>
          <w:color w:val="0D1B3E"/>
          <w:spacing w:val="0"/>
          <w:position w:val="0"/>
          <w:sz w:val="52"/>
          <w:shd w:fill="auto" w:val="clear"/>
        </w:rPr>
        <w:t xml:space="preserve">REDKROSS INTELLIGENCE</w:t>
      </w:r>
    </w:p>
    <w:p>
      <w:pPr>
        <w:spacing w:before="60" w:after="160" w:line="240"/>
        <w:ind w:right="0" w:left="0" w:firstLine="0"/>
        <w:jc w:val="center"/>
        <w:rPr>
          <w:rFonts w:ascii="Calibri" w:hAnsi="Calibri" w:cs="Calibri" w:eastAsia="Calibri"/>
          <w:color w:val="auto"/>
          <w:spacing w:val="0"/>
          <w:position w:val="0"/>
          <w:sz w:val="20"/>
          <w:shd w:fill="auto" w:val="clear"/>
        </w:rPr>
      </w:pPr>
      <w:r>
        <w:rPr>
          <w:rFonts w:ascii="Montserrat" w:hAnsi="Montserrat" w:cs="Montserrat" w:eastAsia="Montserrat"/>
          <w:color w:val="4A6582"/>
          <w:spacing w:val="0"/>
          <w:position w:val="0"/>
          <w:sz w:val="26"/>
          <w:shd w:fill="auto" w:val="clear"/>
        </w:rPr>
        <w:t xml:space="preserve">Payment Security &amp; Compliance Division</w:t>
      </w:r>
    </w:p>
    <w:p>
      <w:pPr>
        <w:spacing w:before="40" w:after="40" w:line="240"/>
        <w:ind w:right="0" w:left="0" w:firstLine="0"/>
        <w:jc w:val="center"/>
        <w:rPr>
          <w:rFonts w:ascii="Calibri" w:hAnsi="Calibri" w:cs="Calibri" w:eastAsia="Calibri"/>
          <w:color w:val="auto"/>
          <w:spacing w:val="0"/>
          <w:position w:val="0"/>
          <w:sz w:val="20"/>
          <w:shd w:fill="auto" w:val="clear"/>
        </w:rPr>
      </w:pP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160" w:after="0" w:line="240"/>
        <w:ind w:right="0" w:left="0" w:firstLine="0"/>
        <w:jc w:val="center"/>
        <w:rPr>
          <w:rFonts w:ascii="Calibri" w:hAnsi="Calibri" w:cs="Calibri" w:eastAsia="Calibri"/>
          <w:color w:val="auto"/>
          <w:spacing w:val="0"/>
          <w:position w:val="0"/>
          <w:sz w:val="20"/>
          <w:shd w:fill="0D1B3E" w:val="clear"/>
        </w:rPr>
      </w:pPr>
      <w:r>
        <w:rPr>
          <w:rFonts w:ascii="Montserrat" w:hAnsi="Montserrat" w:cs="Montserrat" w:eastAsia="Montserrat"/>
          <w:b/>
          <w:color w:val="FFFFFF"/>
          <w:spacing w:val="0"/>
          <w:position w:val="0"/>
          <w:sz w:val="72"/>
          <w:shd w:fill="0D1B3E" w:val="clear"/>
        </w:rPr>
        <w:t xml:space="preserve">  PCI DSS v4.0 COMPLIANCE  </w:t>
      </w:r>
    </w:p>
    <w:p>
      <w:pPr>
        <w:spacing w:before="0" w:after="160" w:line="240"/>
        <w:ind w:right="0" w:left="0" w:firstLine="0"/>
        <w:jc w:val="center"/>
        <w:rPr>
          <w:rFonts w:ascii="Calibri" w:hAnsi="Calibri" w:cs="Calibri" w:eastAsia="Calibri"/>
          <w:color w:val="auto"/>
          <w:spacing w:val="0"/>
          <w:position w:val="0"/>
          <w:sz w:val="20"/>
          <w:shd w:fill="0D1B3E" w:val="clear"/>
        </w:rPr>
      </w:pPr>
      <w:r>
        <w:rPr>
          <w:rFonts w:ascii="Montserrat" w:hAnsi="Montserrat" w:cs="Montserrat" w:eastAsia="Montserrat"/>
          <w:b/>
          <w:color w:val="D6E4F0"/>
          <w:spacing w:val="0"/>
          <w:position w:val="0"/>
          <w:sz w:val="56"/>
          <w:shd w:fill="0D1B3E" w:val="clear"/>
        </w:rPr>
        <w:t xml:space="preserve">  POLICY DOCUMENT  </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i/>
          <w:color w:val="4A6582"/>
          <w:spacing w:val="0"/>
          <w:position w:val="0"/>
          <w:sz w:val="24"/>
          <w:shd w:fill="auto" w:val="clear"/>
        </w:rPr>
        <w:t xml:space="preserve">Payment Card Industry Data Security Standard | Version 4.0</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60" w:after="60" w:line="240"/>
        <w:ind w:right="0" w:left="0" w:firstLine="0"/>
        <w:jc w:val="left"/>
        <w:rPr>
          <w:rFonts w:ascii="Calibri" w:hAnsi="Calibri" w:cs="Calibri" w:eastAsia="Calibri"/>
          <w:color w:val="auto"/>
          <w:spacing w:val="0"/>
          <w:position w:val="0"/>
          <w:sz w:val="20"/>
          <w:shd w:fill="auto" w:val="clear"/>
        </w:rPr>
      </w:pPr>
    </w:p>
    <w:tbl>
      <w:tblPr/>
      <w:tblGrid>
        <w:gridCol w:w="2800"/>
        <w:gridCol w:w="4200"/>
      </w:tblGrid>
      <w:tr>
        <w:trPr>
          <w:trHeight w:val="1" w:hRule="atLeast"/>
          <w:jc w:val="center"/>
        </w:trPr>
        <w:tc>
          <w:tcPr>
            <w:tcW w:w="2800" w:type="dxa"/>
            <w:tcBorders>
              <w:top w:val="single" w:color="2e5f8a" w:sz="1"/>
              <w:left w:val="single" w:color="2e5f8a" w:sz="1"/>
              <w:bottom w:val="single" w:color="2e5f8a" w:sz="1"/>
              <w:right w:val="single" w:color="2e5f8a" w:sz="1"/>
            </w:tcBorders>
            <w:shd w:color="000000" w:fill="0d1b3e" w:val="clear"/>
            <w:tcMar>
              <w:left w:w="160" w:type="dxa"/>
              <w:right w:w="16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6E4F0"/>
                <w:spacing w:val="0"/>
                <w:position w:val="0"/>
                <w:sz w:val="18"/>
                <w:shd w:fill="auto" w:val="clear"/>
              </w:rPr>
              <w:t xml:space="preserve">DOCUMENT TYPE</w:t>
            </w:r>
          </w:p>
        </w:tc>
        <w:tc>
          <w:tcPr>
            <w:tcW w:w="4200" w:type="dxa"/>
            <w:tcBorders>
              <w:top w:val="single" w:color="2e5f8a" w:sz="1"/>
              <w:left w:val="single" w:color="2e5f8a" w:sz="1"/>
              <w:bottom w:val="single" w:color="2e5f8a" w:sz="1"/>
              <w:right w:val="single" w:color="2e5f8a" w:sz="1"/>
            </w:tcBorders>
            <w:shd w:color="000000" w:fill="auto"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Internal Compliance Policy Draft</w:t>
            </w:r>
          </w:p>
        </w:tc>
      </w:tr>
      <w:tr>
        <w:trPr>
          <w:trHeight w:val="1" w:hRule="atLeast"/>
          <w:jc w:val="center"/>
        </w:trPr>
        <w:tc>
          <w:tcPr>
            <w:tcW w:w="2800" w:type="dxa"/>
            <w:tcBorders>
              <w:top w:val="single" w:color="2e5f8a" w:sz="1"/>
              <w:left w:val="single" w:color="2e5f8a" w:sz="1"/>
              <w:bottom w:val="single" w:color="2e5f8a" w:sz="1"/>
              <w:right w:val="single" w:color="2e5f8a" w:sz="1"/>
            </w:tcBorders>
            <w:shd w:color="000000" w:fill="0d1b3e" w:val="clear"/>
            <w:tcMar>
              <w:left w:w="160" w:type="dxa"/>
              <w:right w:w="16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6E4F0"/>
                <w:spacing w:val="0"/>
                <w:position w:val="0"/>
                <w:sz w:val="18"/>
                <w:shd w:fill="auto" w:val="clear"/>
              </w:rPr>
              <w:t xml:space="preserve">VERSION</w:t>
            </w:r>
          </w:p>
        </w:tc>
        <w:tc>
          <w:tcPr>
            <w:tcW w:w="4200" w:type="dxa"/>
            <w:tcBorders>
              <w:top w:val="single" w:color="2e5f8a" w:sz="1"/>
              <w:left w:val="single" w:color="2e5f8a" w:sz="1"/>
              <w:bottom w:val="single" w:color="2e5f8a" w:sz="1"/>
              <w:right w:val="single" w:color="2e5f8a" w:sz="1"/>
            </w:tcBorders>
            <w:shd w:color="000000" w:fill="auto"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1.0 DRAFT</w:t>
            </w:r>
          </w:p>
        </w:tc>
      </w:tr>
      <w:tr>
        <w:trPr>
          <w:trHeight w:val="1" w:hRule="atLeast"/>
          <w:jc w:val="center"/>
        </w:trPr>
        <w:tc>
          <w:tcPr>
            <w:tcW w:w="2800" w:type="dxa"/>
            <w:tcBorders>
              <w:top w:val="single" w:color="2e5f8a" w:sz="1"/>
              <w:left w:val="single" w:color="2e5f8a" w:sz="1"/>
              <w:bottom w:val="single" w:color="2e5f8a" w:sz="1"/>
              <w:right w:val="single" w:color="2e5f8a" w:sz="1"/>
            </w:tcBorders>
            <w:shd w:color="000000" w:fill="0d1b3e" w:val="clear"/>
            <w:tcMar>
              <w:left w:w="160" w:type="dxa"/>
              <w:right w:w="16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6E4F0"/>
                <w:spacing w:val="0"/>
                <w:position w:val="0"/>
                <w:sz w:val="18"/>
                <w:shd w:fill="auto" w:val="clear"/>
              </w:rPr>
              <w:t xml:space="preserve">CLASSIFICATION</w:t>
            </w:r>
          </w:p>
        </w:tc>
        <w:tc>
          <w:tcPr>
            <w:tcW w:w="4200" w:type="dxa"/>
            <w:tcBorders>
              <w:top w:val="single" w:color="2e5f8a" w:sz="1"/>
              <w:left w:val="single" w:color="2e5f8a" w:sz="1"/>
              <w:bottom w:val="single" w:color="2e5f8a" w:sz="1"/>
              <w:right w:val="single" w:color="2e5f8a" w:sz="1"/>
            </w:tcBorders>
            <w:shd w:color="000000" w:fill="auto" w:val="clear"/>
            <w:tcMar>
              <w:left w:w="160" w:type="dxa"/>
              <w:right w:w="16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CONFIDENTIAL </w:t>
            </w:r>
            <w:r>
              <w:rPr>
                <w:rFonts w:ascii="Calibri" w:hAnsi="Calibri" w:cs="Calibri" w:eastAsia="Calibri"/>
                <w:b/>
                <w:color w:val="C0392B"/>
                <w:spacing w:val="0"/>
                <w:position w:val="0"/>
                <w:sz w:val="18"/>
                <w:shd w:fill="auto" w:val="clear"/>
              </w:rPr>
              <w:t xml:space="preserve">—</w:t>
            </w:r>
            <w:r>
              <w:rPr>
                <w:rFonts w:ascii="Calibri" w:hAnsi="Calibri" w:cs="Calibri" w:eastAsia="Calibri"/>
                <w:b/>
                <w:color w:val="C0392B"/>
                <w:spacing w:val="0"/>
                <w:position w:val="0"/>
                <w:sz w:val="18"/>
                <w:shd w:fill="auto" w:val="clear"/>
              </w:rPr>
              <w:t xml:space="preserve"> INTERNAL USE ONLY</w:t>
            </w:r>
          </w:p>
        </w:tc>
      </w:tr>
      <w:tr>
        <w:trPr>
          <w:trHeight w:val="1" w:hRule="atLeast"/>
          <w:jc w:val="center"/>
        </w:trPr>
        <w:tc>
          <w:tcPr>
            <w:tcW w:w="2800" w:type="dxa"/>
            <w:tcBorders>
              <w:top w:val="single" w:color="2e5f8a" w:sz="1"/>
              <w:left w:val="single" w:color="2e5f8a" w:sz="1"/>
              <w:bottom w:val="single" w:color="2e5f8a" w:sz="1"/>
              <w:right w:val="single" w:color="2e5f8a" w:sz="1"/>
            </w:tcBorders>
            <w:shd w:color="000000" w:fill="0d1b3e" w:val="clear"/>
            <w:tcMar>
              <w:left w:w="160" w:type="dxa"/>
              <w:right w:w="16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6E4F0"/>
                <w:spacing w:val="0"/>
                <w:position w:val="0"/>
                <w:sz w:val="18"/>
                <w:shd w:fill="auto" w:val="clear"/>
              </w:rPr>
              <w:t xml:space="preserve">PREPARED BY</w:t>
            </w:r>
          </w:p>
        </w:tc>
        <w:tc>
          <w:tcPr>
            <w:tcW w:w="4200" w:type="dxa"/>
            <w:tcBorders>
              <w:top w:val="single" w:color="2e5f8a" w:sz="1"/>
              <w:left w:val="single" w:color="2e5f8a" w:sz="1"/>
              <w:bottom w:val="single" w:color="2e5f8a" w:sz="1"/>
              <w:right w:val="single" w:color="2e5f8a" w:sz="1"/>
            </w:tcBorders>
            <w:shd w:color="000000" w:fill="auto"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Shubham Nirmal | Intern ID: 2160</w:t>
            </w:r>
          </w:p>
        </w:tc>
      </w:tr>
      <w:tr>
        <w:trPr>
          <w:trHeight w:val="1" w:hRule="atLeast"/>
          <w:jc w:val="center"/>
        </w:trPr>
        <w:tc>
          <w:tcPr>
            <w:tcW w:w="2800" w:type="dxa"/>
            <w:tcBorders>
              <w:top w:val="single" w:color="2e5f8a" w:sz="1"/>
              <w:left w:val="single" w:color="2e5f8a" w:sz="1"/>
              <w:bottom w:val="single" w:color="2e5f8a" w:sz="1"/>
              <w:right w:val="single" w:color="2e5f8a" w:sz="1"/>
            </w:tcBorders>
            <w:shd w:color="000000" w:fill="0d1b3e" w:val="clear"/>
            <w:tcMar>
              <w:left w:w="160" w:type="dxa"/>
              <w:right w:w="16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6E4F0"/>
                <w:spacing w:val="0"/>
                <w:position w:val="0"/>
                <w:sz w:val="18"/>
                <w:shd w:fill="auto" w:val="clear"/>
              </w:rPr>
              <w:t xml:space="preserve">EFFECTIVE DATE</w:t>
            </w:r>
          </w:p>
        </w:tc>
        <w:tc>
          <w:tcPr>
            <w:tcW w:w="4200" w:type="dxa"/>
            <w:tcBorders>
              <w:top w:val="single" w:color="2e5f8a" w:sz="1"/>
              <w:left w:val="single" w:color="2e5f8a" w:sz="1"/>
              <w:bottom w:val="single" w:color="2e5f8a" w:sz="1"/>
              <w:right w:val="single" w:color="2e5f8a" w:sz="1"/>
            </w:tcBorders>
            <w:shd w:color="000000" w:fill="auto"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June 2026</w:t>
            </w:r>
          </w:p>
        </w:tc>
      </w:tr>
      <w:tr>
        <w:trPr>
          <w:trHeight w:val="1" w:hRule="atLeast"/>
          <w:jc w:val="center"/>
        </w:trPr>
        <w:tc>
          <w:tcPr>
            <w:tcW w:w="2800" w:type="dxa"/>
            <w:tcBorders>
              <w:top w:val="single" w:color="2e5f8a" w:sz="1"/>
              <w:left w:val="single" w:color="2e5f8a" w:sz="1"/>
              <w:bottom w:val="single" w:color="2e5f8a" w:sz="1"/>
              <w:right w:val="single" w:color="2e5f8a" w:sz="1"/>
            </w:tcBorders>
            <w:shd w:color="000000" w:fill="0d1b3e" w:val="clear"/>
            <w:tcMar>
              <w:left w:w="160" w:type="dxa"/>
              <w:right w:w="16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6E4F0"/>
                <w:spacing w:val="0"/>
                <w:position w:val="0"/>
                <w:sz w:val="18"/>
                <w:shd w:fill="auto" w:val="clear"/>
              </w:rPr>
              <w:t xml:space="preserve">NEXT REVIEW</w:t>
            </w:r>
          </w:p>
        </w:tc>
        <w:tc>
          <w:tcPr>
            <w:tcW w:w="4200" w:type="dxa"/>
            <w:tcBorders>
              <w:top w:val="single" w:color="2e5f8a" w:sz="1"/>
              <w:left w:val="single" w:color="2e5f8a" w:sz="1"/>
              <w:bottom w:val="single" w:color="2e5f8a" w:sz="1"/>
              <w:right w:val="single" w:color="2e5f8a" w:sz="1"/>
            </w:tcBorders>
            <w:shd w:color="000000" w:fill="auto"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June 2027</w:t>
            </w:r>
          </w:p>
        </w:tc>
      </w:tr>
    </w:tbl>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left"/>
        <w:rPr>
          <w:rFonts w:ascii="Calibri" w:hAnsi="Calibri" w:cs="Calibri" w:eastAsia="Calibri"/>
          <w:color w:val="auto"/>
          <w:spacing w:val="0"/>
          <w:position w:val="0"/>
          <w:sz w:val="20"/>
          <w:shd w:fill="FFF8E7" w:val="clear"/>
        </w:rPr>
      </w:pPr>
      <w:r>
        <w:rPr>
          <w:rFonts w:ascii="Calibri" w:hAnsi="Calibri" w:cs="Calibri" w:eastAsia="Calibri"/>
          <w:b/>
          <w:color w:val="C0392B"/>
          <w:spacing w:val="0"/>
          <w:position w:val="0"/>
          <w:sz w:val="18"/>
          <w:shd w:fill="FFF8E7" w:val="clear"/>
        </w:rPr>
        <w:t xml:space="preserve">DRAFT DOCUMENT </w:t>
      </w:r>
      <w:r>
        <w:rPr>
          <w:rFonts w:ascii="Calibri" w:hAnsi="Calibri" w:cs="Calibri" w:eastAsia="Calibri"/>
          <w:b/>
          <w:color w:val="C0392B"/>
          <w:spacing w:val="0"/>
          <w:position w:val="0"/>
          <w:sz w:val="18"/>
          <w:shd w:fill="FFF8E7" w:val="clear"/>
        </w:rPr>
        <w:t xml:space="preserve">–</w:t>
      </w:r>
      <w:r>
        <w:rPr>
          <w:rFonts w:ascii="Calibri" w:hAnsi="Calibri" w:cs="Calibri" w:eastAsia="Calibri"/>
          <w:b/>
          <w:color w:val="C0392B"/>
          <w:spacing w:val="0"/>
          <w:position w:val="0"/>
          <w:sz w:val="18"/>
          <w:shd w:fill="FFF8E7" w:val="clear"/>
        </w:rPr>
        <w:t xml:space="preserve"> </w:t>
      </w:r>
      <w:r>
        <w:rPr>
          <w:rFonts w:ascii="Calibri" w:hAnsi="Calibri" w:cs="Calibri" w:eastAsia="Calibri"/>
          <w:color w:val="4A3000"/>
          <w:spacing w:val="0"/>
          <w:position w:val="0"/>
          <w:sz w:val="18"/>
          <w:shd w:fill="FFF8E7" w:val="clear"/>
        </w:rPr>
        <w:t xml:space="preserve">Prepared by Shubham Nirmal (Intern ID 2160) for internship research and educational purposes. This document does not replace the official PCI DSS standard issued by the PCI Security Standards Council.</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120" w:after="120" w:line="240"/>
        <w:ind w:right="0" w:left="0" w:firstLine="0"/>
        <w:jc w:val="center"/>
        <w:rPr>
          <w:rFonts w:ascii="Calibri" w:hAnsi="Calibri" w:cs="Calibri" w:eastAsia="Calibri"/>
          <w:color w:val="auto"/>
          <w:spacing w:val="0"/>
          <w:position w:val="0"/>
          <w:sz w:val="20"/>
          <w:shd w:fill="E8ECF0" w:val="clear"/>
        </w:rPr>
      </w:pPr>
      <w:r>
        <w:rPr>
          <w:rFonts w:ascii="Calibri" w:hAnsi="Calibri" w:cs="Calibri" w:eastAsia="Calibri"/>
          <w:i/>
          <w:color w:val="2C3E50"/>
          <w:spacing w:val="0"/>
          <w:position w:val="0"/>
          <w:sz w:val="18"/>
          <w:shd w:fill="E8ECF0" w:val="clear"/>
        </w:rPr>
        <w:t xml:space="preserve">This is NOT the official PCI DSS standard. This document is a proposed internal compliance policy prepared for internship research and educational purposes only.</w:t>
      </w:r>
    </w:p>
    <w:p>
      <w:pPr>
        <w:spacing w:before="0" w:after="0" w:line="240"/>
        <w:ind w:right="0" w:left="0" w:firstLine="0"/>
        <w:jc w:val="left"/>
        <w:rPr>
          <w:rFonts w:ascii="Calibri" w:hAnsi="Calibri" w:cs="Calibri" w:eastAsia="Calibri"/>
          <w:color w:val="auto"/>
          <w:spacing w:val="0"/>
          <w:position w:val="0"/>
          <w:sz w:val="20"/>
          <w:shd w:fill="auto" w:val="clear"/>
        </w:rPr>
      </w:pP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Document Control Information</w:t>
      </w:r>
    </w:p>
    <w:p>
      <w:pPr>
        <w:spacing w:before="80" w:after="80" w:line="240"/>
        <w:ind w:right="0" w:left="0" w:firstLine="0"/>
        <w:jc w:val="left"/>
        <w:rPr>
          <w:rFonts w:ascii="Calibri" w:hAnsi="Calibri" w:cs="Calibri" w:eastAsia="Calibri"/>
          <w:color w:val="auto"/>
          <w:spacing w:val="0"/>
          <w:position w:val="0"/>
          <w:sz w:val="20"/>
          <w:shd w:fill="FFF8E7" w:val="clear"/>
        </w:rPr>
      </w:pPr>
      <w:r>
        <w:rPr>
          <w:rFonts w:ascii="Calibri" w:hAnsi="Calibri" w:cs="Calibri" w:eastAsia="Calibri"/>
          <w:b/>
          <w:color w:val="C0392B"/>
          <w:spacing w:val="0"/>
          <w:position w:val="0"/>
          <w:sz w:val="18"/>
          <w:shd w:fill="FFF8E7" w:val="clear"/>
        </w:rPr>
        <w:t xml:space="preserve">DRAFT DOCUMENT </w:t>
      </w:r>
      <w:r>
        <w:rPr>
          <w:rFonts w:ascii="Calibri" w:hAnsi="Calibri" w:cs="Calibri" w:eastAsia="Calibri"/>
          <w:b/>
          <w:color w:val="C0392B"/>
          <w:spacing w:val="0"/>
          <w:position w:val="0"/>
          <w:sz w:val="18"/>
          <w:shd w:fill="FFF8E7" w:val="clear"/>
        </w:rPr>
        <w:t xml:space="preserve">–</w:t>
      </w:r>
      <w:r>
        <w:rPr>
          <w:rFonts w:ascii="Calibri" w:hAnsi="Calibri" w:cs="Calibri" w:eastAsia="Calibri"/>
          <w:b/>
          <w:color w:val="C0392B"/>
          <w:spacing w:val="0"/>
          <w:position w:val="0"/>
          <w:sz w:val="18"/>
          <w:shd w:fill="FFF8E7" w:val="clear"/>
        </w:rPr>
        <w:t xml:space="preserve"> </w:t>
      </w:r>
      <w:r>
        <w:rPr>
          <w:rFonts w:ascii="Calibri" w:hAnsi="Calibri" w:cs="Calibri" w:eastAsia="Calibri"/>
          <w:color w:val="4A3000"/>
          <w:spacing w:val="0"/>
          <w:position w:val="0"/>
          <w:sz w:val="18"/>
          <w:shd w:fill="FFF8E7" w:val="clear"/>
        </w:rPr>
        <w:t xml:space="preserve">Prepared by Shubham Nirmal (Intern ID 2160) for internship research and educational purposes. This document does not replace the official PCI DSS standard issued by the PCI Security Standards Council.</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Document Identification</w:t>
      </w:r>
    </w:p>
    <w:tbl>
      <w:tblPr/>
      <w:tblGrid>
        <w:gridCol w:w="3200"/>
        <w:gridCol w:w="6160"/>
      </w:tblGrid>
      <w:tr>
        <w:trPr>
          <w:trHeight w:val="1" w:hRule="atLeast"/>
          <w:jc w:val="left"/>
        </w:trPr>
        <w:tc>
          <w:tcPr>
            <w:tcW w:w="3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Field</w:t>
            </w:r>
          </w:p>
        </w:tc>
        <w:tc>
          <w:tcPr>
            <w:tcW w:w="61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Details</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Document Title</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PCI DSS v4.0 Compliance Policy</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Document ID</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RKI-POL-SEC-PCI-001</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Organization</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RedKross Intelligence</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Division</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Payment Security &amp; Compliance Division</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Prepared By</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Shubham Nirmal, Intern ID: 2160</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Drafted By</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Shubham Nirmal, Security Compliance Intern</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Proposed By</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Payment Security &amp; Compliance Division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RedKross Intelligence</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Version</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1.0 DRAFT</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Status</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DRAFT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Pending Review and Approval</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Effective Date</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June 2026</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Review Frequency</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Annual (or upon significant environmental change)</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Next Review Date</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June 2027</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Classification</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CONFIDENTIAL </w:t>
            </w:r>
            <w:r>
              <w:rPr>
                <w:rFonts w:ascii="Calibri" w:hAnsi="Calibri" w:cs="Calibri" w:eastAsia="Calibri"/>
                <w:b/>
                <w:color w:val="C0392B"/>
                <w:spacing w:val="0"/>
                <w:position w:val="0"/>
                <w:sz w:val="18"/>
                <w:shd w:fill="auto" w:val="clear"/>
              </w:rPr>
              <w:t xml:space="preserve">—</w:t>
            </w:r>
            <w:r>
              <w:rPr>
                <w:rFonts w:ascii="Calibri" w:hAnsi="Calibri" w:cs="Calibri" w:eastAsia="Calibri"/>
                <w:b/>
                <w:color w:val="C0392B"/>
                <w:spacing w:val="0"/>
                <w:position w:val="0"/>
                <w:sz w:val="18"/>
                <w:shd w:fill="auto" w:val="clear"/>
              </w:rPr>
              <w:t xml:space="preserve"> INTERNAL USE ONLY</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Applicable Standard</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Payment Card Industry Data Security Standard (PCI DSS) Version 4.0</w:t>
            </w:r>
          </w:p>
        </w:tc>
      </w:tr>
    </w:tbl>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Version History</w:t>
      </w:r>
    </w:p>
    <w:tbl>
      <w:tblPr/>
      <w:tblGrid>
        <w:gridCol w:w="1200"/>
        <w:gridCol w:w="1400"/>
        <w:gridCol w:w="2000"/>
        <w:gridCol w:w="3000"/>
        <w:gridCol w:w="1760"/>
      </w:tblGrid>
      <w:tr>
        <w:trPr>
          <w:trHeight w:val="1" w:hRule="atLeast"/>
          <w:jc w:val="left"/>
        </w:trPr>
        <w:tc>
          <w:tcPr>
            <w:tcW w:w="1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Version</w:t>
            </w:r>
          </w:p>
        </w:tc>
        <w:tc>
          <w:tcPr>
            <w:tcW w:w="14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Date</w:t>
            </w:r>
          </w:p>
        </w:tc>
        <w:tc>
          <w:tcPr>
            <w:tcW w:w="20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Prepared by</w:t>
            </w:r>
          </w:p>
        </w:tc>
        <w:tc>
          <w:tcPr>
            <w:tcW w:w="30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Description of Changes</w:t>
            </w:r>
          </w:p>
        </w:tc>
        <w:tc>
          <w:tcPr>
            <w:tcW w:w="17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Status</w:t>
            </w:r>
          </w:p>
        </w:tc>
      </w:tr>
      <w:tr>
        <w:trPr>
          <w:trHeight w:val="390" w:hRule="auto"/>
          <w:jc w:val="left"/>
        </w:trPr>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0.1</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Jan 2026</w:t>
            </w:r>
          </w:p>
        </w:tc>
        <w:tc>
          <w:tcPr>
            <w:tcW w:w="2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Shubham Nirmal</w:t>
            </w:r>
          </w:p>
        </w:tc>
        <w:tc>
          <w:tcPr>
            <w:tcW w:w="3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Initial framework and scope definition</w:t>
            </w:r>
          </w:p>
        </w:tc>
        <w:tc>
          <w:tcPr>
            <w:tcW w:w="17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DRAFT</w:t>
            </w:r>
          </w:p>
        </w:tc>
      </w:tr>
      <w:tr>
        <w:trPr>
          <w:trHeight w:val="1" w:hRule="atLeast"/>
          <w:jc w:val="left"/>
        </w:trPr>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0.2</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Mar 2026</w:t>
            </w:r>
          </w:p>
        </w:tc>
        <w:tc>
          <w:tcPr>
            <w:tcW w:w="2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Shubham Nirmal</w:t>
            </w:r>
          </w:p>
        </w:tc>
        <w:tc>
          <w:tcPr>
            <w:tcW w:w="3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Addition of PCI DSS v4.0 requirements mapping, tool integrations</w:t>
            </w:r>
          </w:p>
        </w:tc>
        <w:tc>
          <w:tcPr>
            <w:tcW w:w="17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DRAFT</w:t>
            </w:r>
          </w:p>
        </w:tc>
      </w:tr>
      <w:tr>
        <w:trPr>
          <w:trHeight w:val="1" w:hRule="atLeast"/>
          <w:jc w:val="left"/>
        </w:trPr>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0.5</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Apr 2026</w:t>
            </w:r>
          </w:p>
        </w:tc>
        <w:tc>
          <w:tcPr>
            <w:tcW w:w="2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Shubham Nirmal</w:t>
            </w:r>
          </w:p>
        </w:tc>
        <w:tc>
          <w:tcPr>
            <w:tcW w:w="3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Risk matrix, compliance matrix, and RACI matrix added</w:t>
            </w:r>
          </w:p>
        </w:tc>
        <w:tc>
          <w:tcPr>
            <w:tcW w:w="17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DRAFT</w:t>
            </w:r>
          </w:p>
        </w:tc>
      </w:tr>
      <w:tr>
        <w:trPr>
          <w:trHeight w:val="1" w:hRule="atLeast"/>
          <w:jc w:val="left"/>
        </w:trPr>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0.9</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May 2026</w:t>
            </w:r>
          </w:p>
        </w:tc>
        <w:tc>
          <w:tcPr>
            <w:tcW w:w="2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Shubham Nirmal</w:t>
            </w:r>
          </w:p>
        </w:tc>
        <w:tc>
          <w:tcPr>
            <w:tcW w:w="3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All 12 PCI DSS v4.0 requirements covered, incident response added</w:t>
            </w:r>
          </w:p>
        </w:tc>
        <w:tc>
          <w:tcPr>
            <w:tcW w:w="17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DRAFT</w:t>
            </w:r>
          </w:p>
        </w:tc>
      </w:tr>
      <w:tr>
        <w:trPr>
          <w:trHeight w:val="1" w:hRule="atLeast"/>
          <w:jc w:val="left"/>
        </w:trPr>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1.0</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Jun 2026</w:t>
            </w:r>
          </w:p>
        </w:tc>
        <w:tc>
          <w:tcPr>
            <w:tcW w:w="2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Shubham Nirmal</w:t>
            </w:r>
          </w:p>
        </w:tc>
        <w:tc>
          <w:tcPr>
            <w:tcW w:w="3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Final draft for internship submission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full policy content complete</w:t>
            </w:r>
          </w:p>
        </w:tc>
        <w:tc>
          <w:tcPr>
            <w:tcW w:w="17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DRAFT</w:t>
            </w:r>
          </w:p>
        </w:tc>
      </w:tr>
    </w:tbl>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Approval Matrix</w:t>
      </w:r>
    </w:p>
    <w:tbl>
      <w:tblPr/>
      <w:tblGrid>
        <w:gridCol w:w="2200"/>
        <w:gridCol w:w="2200"/>
        <w:gridCol w:w="1960"/>
        <w:gridCol w:w="1500"/>
        <w:gridCol w:w="1500"/>
      </w:tblGrid>
      <w:tr>
        <w:trPr>
          <w:trHeight w:val="1" w:hRule="atLeast"/>
          <w:jc w:val="left"/>
        </w:trPr>
        <w:tc>
          <w:tcPr>
            <w:tcW w:w="2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Role</w:t>
            </w:r>
          </w:p>
        </w:tc>
        <w:tc>
          <w:tcPr>
            <w:tcW w:w="2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Name</w:t>
            </w:r>
          </w:p>
        </w:tc>
        <w:tc>
          <w:tcPr>
            <w:tcW w:w="19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Department</w:t>
            </w:r>
          </w:p>
        </w:tc>
        <w:tc>
          <w:tcPr>
            <w:tcW w:w="15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Signature</w:t>
            </w:r>
          </w:p>
        </w:tc>
        <w:tc>
          <w:tcPr>
            <w:tcW w:w="15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Date</w:t>
            </w:r>
          </w:p>
        </w:tc>
      </w:tr>
      <w:tr>
        <w:trPr>
          <w:trHeight w:val="1" w:hRule="atLeast"/>
          <w:jc w:val="left"/>
        </w:trPr>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Chief Information Security Officer</w:t>
            </w:r>
          </w:p>
        </w:tc>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[CISO Name]</w:t>
            </w:r>
          </w:p>
        </w:tc>
        <w:tc>
          <w:tcPr>
            <w:tcW w:w="1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Information Security</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w:t>
            </w:r>
          </w:p>
        </w:tc>
      </w:tr>
      <w:tr>
        <w:trPr>
          <w:trHeight w:val="1" w:hRule="atLeast"/>
          <w:jc w:val="left"/>
        </w:trPr>
        <w:tc>
          <w:tcPr>
            <w:tcW w:w="2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Chief Compliance Officer</w:t>
            </w:r>
          </w:p>
        </w:tc>
        <w:tc>
          <w:tcPr>
            <w:tcW w:w="2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[CCO Name]</w:t>
            </w:r>
          </w:p>
        </w:tc>
        <w:tc>
          <w:tcPr>
            <w:tcW w:w="1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Risk &amp; Compliance</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w:t>
            </w:r>
          </w:p>
        </w:tc>
      </w:tr>
      <w:tr>
        <w:trPr>
          <w:trHeight w:val="1" w:hRule="atLeast"/>
          <w:jc w:val="left"/>
        </w:trPr>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VP of Information Technology</w:t>
            </w:r>
          </w:p>
        </w:tc>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[VP IT Name]</w:t>
            </w:r>
          </w:p>
        </w:tc>
        <w:tc>
          <w:tcPr>
            <w:tcW w:w="1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Information Technology</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w:t>
            </w:r>
          </w:p>
        </w:tc>
      </w:tr>
      <w:tr>
        <w:trPr>
          <w:trHeight w:val="1" w:hRule="atLeast"/>
          <w:jc w:val="left"/>
        </w:trPr>
        <w:tc>
          <w:tcPr>
            <w:tcW w:w="2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Head of Internal Audit</w:t>
            </w:r>
          </w:p>
        </w:tc>
        <w:tc>
          <w:tcPr>
            <w:tcW w:w="2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[IA Name]</w:t>
            </w:r>
          </w:p>
        </w:tc>
        <w:tc>
          <w:tcPr>
            <w:tcW w:w="1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Internal Audit</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w:t>
            </w:r>
          </w:p>
        </w:tc>
      </w:tr>
      <w:tr>
        <w:trPr>
          <w:trHeight w:val="1" w:hRule="atLeast"/>
          <w:jc w:val="left"/>
        </w:trPr>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General Counsel</w:t>
            </w:r>
          </w:p>
        </w:tc>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[GC Name]</w:t>
            </w:r>
          </w:p>
        </w:tc>
        <w:tc>
          <w:tcPr>
            <w:tcW w:w="1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Legal &amp; Regulatory</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w:t>
            </w:r>
          </w:p>
        </w:tc>
      </w:tr>
      <w:tr>
        <w:trPr>
          <w:trHeight w:val="1" w:hRule="atLeast"/>
          <w:jc w:val="left"/>
        </w:trPr>
        <w:tc>
          <w:tcPr>
            <w:tcW w:w="2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Board Risk Committee Chair</w:t>
            </w:r>
          </w:p>
        </w:tc>
        <w:tc>
          <w:tcPr>
            <w:tcW w:w="2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[BRC Name]</w:t>
            </w:r>
          </w:p>
        </w:tc>
        <w:tc>
          <w:tcPr>
            <w:tcW w:w="1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Board of Directors</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w:t>
            </w:r>
          </w:p>
        </w:tc>
      </w:tr>
    </w:tbl>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p>
    <w:p>
      <w:pPr>
        <w:spacing w:before="0" w:after="0" w:line="240"/>
        <w:ind w:right="0" w:left="0" w:firstLine="0"/>
        <w:jc w:val="left"/>
        <w:rPr>
          <w:rFonts w:ascii="Calibri" w:hAnsi="Calibri" w:cs="Calibri" w:eastAsia="Calibri"/>
          <w:color w:val="auto"/>
          <w:spacing w:val="0"/>
          <w:position w:val="0"/>
          <w:sz w:val="20"/>
          <w:shd w:fill="auto" w:val="clear"/>
        </w:rPr>
      </w:pP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Executive Summary</w:t>
      </w:r>
    </w:p>
    <w:p>
      <w:pPr>
        <w:spacing w:before="80" w:after="80" w:line="240"/>
        <w:ind w:right="0" w:left="0" w:firstLine="0"/>
        <w:jc w:val="left"/>
        <w:rPr>
          <w:rFonts w:ascii="Calibri" w:hAnsi="Calibri" w:cs="Calibri" w:eastAsia="Calibri"/>
          <w:color w:val="auto"/>
          <w:spacing w:val="0"/>
          <w:position w:val="0"/>
          <w:sz w:val="20"/>
          <w:shd w:fill="FFF8E7" w:val="clear"/>
        </w:rPr>
      </w:pPr>
      <w:r>
        <w:rPr>
          <w:rFonts w:ascii="Calibri" w:hAnsi="Calibri" w:cs="Calibri" w:eastAsia="Calibri"/>
          <w:b/>
          <w:color w:val="C0392B"/>
          <w:spacing w:val="0"/>
          <w:position w:val="0"/>
          <w:sz w:val="18"/>
          <w:shd w:fill="FFF8E7" w:val="clear"/>
        </w:rPr>
        <w:t xml:space="preserve">DRAFT DOCUMENT </w:t>
      </w:r>
      <w:r>
        <w:rPr>
          <w:rFonts w:ascii="Calibri" w:hAnsi="Calibri" w:cs="Calibri" w:eastAsia="Calibri"/>
          <w:b/>
          <w:color w:val="C0392B"/>
          <w:spacing w:val="0"/>
          <w:position w:val="0"/>
          <w:sz w:val="18"/>
          <w:shd w:fill="FFF8E7" w:val="clear"/>
        </w:rPr>
        <w:t xml:space="preserve">–</w:t>
      </w:r>
      <w:r>
        <w:rPr>
          <w:rFonts w:ascii="Calibri" w:hAnsi="Calibri" w:cs="Calibri" w:eastAsia="Calibri"/>
          <w:b/>
          <w:color w:val="C0392B"/>
          <w:spacing w:val="0"/>
          <w:position w:val="0"/>
          <w:sz w:val="18"/>
          <w:shd w:fill="FFF8E7" w:val="clear"/>
        </w:rPr>
        <w:t xml:space="preserve"> </w:t>
      </w:r>
      <w:r>
        <w:rPr>
          <w:rFonts w:ascii="Calibri" w:hAnsi="Calibri" w:cs="Calibri" w:eastAsia="Calibri"/>
          <w:color w:val="4A3000"/>
          <w:spacing w:val="0"/>
          <w:position w:val="0"/>
          <w:sz w:val="18"/>
          <w:shd w:fill="FFF8E7" w:val="clear"/>
        </w:rPr>
        <w:t xml:space="preserve">Prepared by Shubham Nirmal (Intern ID 2160) for internship research and educational purposes. This document does not replace the official PCI DSS standard issued by the PCI Security Standards Council.</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(hereinafter referred to as 'the Organization') operates within the payment card processing ecosystem and is thereby obligated to maintain full compliance with the Payment Card Industry Data Security Standard (PCI DSS) Version 4.0, as published and maintained by the PCI Security Standards Council (PCI SSC). This policy document establishes the comprehensive security framework, operational controls, and governance procedures required to achieve, maintain, and demonstrate ongoing PCI DSS v4.0 compliance across all systems, processes, and personnel within the Organization's Cardholder Data Environment (CDE).</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PCI DSS v4.0, released in March 2022 with a full compliance deadline of March 31, 2025, introduces significant enhancements over its predecessor, including a customized approach option, enhanced multi-factor authentication requirements, expanded encryption mandates, and a strengthened focus on security-as-a-continuous-process rather than a point-in-time assessment. This policy reflects those advancements and mandates their implementation across all applicable systems and processes.</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The Organization shall implement and maintain the following enterprise-grade security tooling to support PCI DSS v4.0 compliance: IBM QRadar SIEM for security information and event management, Qualys VMDR and Tenable.io for vulnerability management, Palo Alto NGFW and Cisco Firepower for network perimeter defense, Imperva WAF for web application security, CyberArk PAM and HashiCorp Vault for privileged access and secrets management, Thales HSM for hardware-based key management, CrowdStrike Falcon for endpoint detection and response, Tripwire Enterprise for file integrity monitoring, Burp Suite Enterprise for application security testing, and Wireshark for network protocol analysis and forensics.</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This document is organized to address all twelve (12) requirements of PCI DSS v4.0, supplemented by internal governance frameworks, risk assessment methodologies, compliance monitoring procedures, and incident response protocols. All personnel within the scope of this policy must understand, acknowledge, and adhere to its requirements. Non-compliance shall be subject to disciplinary action as defined in the Policy Violations and Enforcement section of this document.</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120" w:after="120" w:line="240"/>
        <w:ind w:right="0" w:left="0" w:firstLine="0"/>
        <w:jc w:val="left"/>
        <w:rPr>
          <w:rFonts w:ascii="Calibri" w:hAnsi="Calibri" w:cs="Calibri" w:eastAsia="Calibri"/>
          <w:color w:val="auto"/>
          <w:spacing w:val="0"/>
          <w:position w:val="0"/>
          <w:sz w:val="20"/>
          <w:shd w:fill="EBF3FA" w:val="clear"/>
        </w:rPr>
      </w:pPr>
      <w:r>
        <w:rPr>
          <w:rFonts w:ascii="Calibri" w:hAnsi="Calibri" w:cs="Calibri" w:eastAsia="Calibri"/>
          <w:b/>
          <w:color w:val="0D1B3E"/>
          <w:spacing w:val="0"/>
          <w:position w:val="0"/>
          <w:sz w:val="20"/>
          <w:shd w:fill="EBF3FA" w:val="clear"/>
        </w:rPr>
        <w:t xml:space="preserve">  KEY COMPLIANCE IMPERATIVE: </w:t>
      </w:r>
      <w:r>
        <w:rPr>
          <w:rFonts w:ascii="Calibri" w:hAnsi="Calibri" w:cs="Calibri" w:eastAsia="Calibri"/>
          <w:color w:val="2C3E50"/>
          <w:spacing w:val="0"/>
          <w:position w:val="0"/>
          <w:sz w:val="20"/>
          <w:shd w:fill="EBF3FA" w:val="clear"/>
        </w:rPr>
        <w:t xml:space="preserve">All systems that store, process, or transmit cardholder data (CHD) or sensitive authentication data (SAD) must comply with this policy. Failure to comply may result in fines, card brand penalties, loss of payment processing privileges, and reputational damage to RedKross Intelligence.</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Introduction</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The Payment Card Industry Data Security Standard (PCI DSS) is a globally recognized information security standard developed and maintained by the PCI Security Standards Council, a collaborative body founded by American Express, Discover Financial Services, JCB International, Mastercard, and Visa Inc. PCI DSS establishes a minimum baseline of security controls that all organizations involved in the storage, processing, or transmission of payment card data must implement and maintain.</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PCI DSS Version 4.0 represents the most significant update to the standard since the introduction of PCI DSS 3.0. It introduces a customized compliance approach that allows organizations to meet the intent of each requirement through alternative methods, provided those alternatives achieve an equivalent or greater level of security. This flexibility is designed to accommodate the rapidly evolving threat landscape and the diverse technological environments in which modern payment processing occurs.</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as an entity involved in the processing and handling of payment card transactions, is required to achieve and maintain PCI DSS v4.0 compliance across all applicable systems and operations. This policy establishes the governance structure, technical controls, operational procedures, and accountability mechanisms necessary to fulfill this obligation.</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Purpose</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The purpose of this policy is to:</w:t>
      </w:r>
    </w:p>
    <w:p>
      <w:pPr>
        <w:numPr>
          <w:ilvl w:val="0"/>
          <w:numId w:val="1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Establish a comprehensive and enforceable compliance framework aligned with PCI DSS v4.0 requirements across all systems and processes within RedKross Intelligence's Cardholder Data Environment (CDE).</w:t>
      </w:r>
    </w:p>
    <w:p>
      <w:pPr>
        <w:numPr>
          <w:ilvl w:val="0"/>
          <w:numId w:val="1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Define mandatory security controls, operational procedures, and governance mechanisms to protect cardholder data and sensitive authentication data from unauthorized access, use, disclosure, alteration, or destruction.</w:t>
      </w:r>
    </w:p>
    <w:p>
      <w:pPr>
        <w:numPr>
          <w:ilvl w:val="0"/>
          <w:numId w:val="1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Assign clear ownership and accountability for each PCI DSS control domain through defined roles, responsibilities, and escalation pathways.</w:t>
      </w:r>
    </w:p>
    <w:p>
      <w:pPr>
        <w:numPr>
          <w:ilvl w:val="0"/>
          <w:numId w:val="1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Provide a structured framework for ongoing compliance monitoring, vulnerability management, incident response, and audit readiness.</w:t>
      </w:r>
    </w:p>
    <w:p>
      <w:pPr>
        <w:numPr>
          <w:ilvl w:val="0"/>
          <w:numId w:val="1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Ensure that all third-party service providers and vendors with access to or involvement in the CDE are subject to equivalent security requirements.</w:t>
      </w:r>
    </w:p>
    <w:p>
      <w:pPr>
        <w:numPr>
          <w:ilvl w:val="0"/>
          <w:numId w:val="1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Foster a culture of security awareness and continuous improvement throughout the Organization.</w:t>
      </w:r>
    </w:p>
    <w:p>
      <w:pPr>
        <w:numPr>
          <w:ilvl w:val="0"/>
          <w:numId w:val="1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Satisfy the requirements of acquiring banks, card brands, and external assessors (QSA/ISA) during formal PCI DSS assessments.</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Scope</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In-Scope Systems and Environments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This policy applies to all systems, processes, personnel, and third-party entities that store, process, or transmit cardholder data (CHD) or sensitive authentication data (SAD), or that could impact the security of such data. The scope of this policy encompasses the following:</w:t>
      </w:r>
    </w:p>
    <w:p>
      <w:pPr>
        <w:numPr>
          <w:ilvl w:val="0"/>
          <w:numId w:val="139"/>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systems within the Cardholder Data Environment (CDE), including payment processing servers, databases, applications, and network infrastructure.</w:t>
      </w:r>
    </w:p>
    <w:p>
      <w:pPr>
        <w:numPr>
          <w:ilvl w:val="0"/>
          <w:numId w:val="139"/>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personnel with logical or physical access to the CDE, including full-time employees, contractors, consultants, and third-party vendors.</w:t>
      </w:r>
    </w:p>
    <w:p>
      <w:pPr>
        <w:numPr>
          <w:ilvl w:val="0"/>
          <w:numId w:val="139"/>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network segments connected to or capable of communicating with the CDE, including corporate LAN, WAN, wireless networks, and cloud environments.</w:t>
      </w:r>
    </w:p>
    <w:p>
      <w:pPr>
        <w:numPr>
          <w:ilvl w:val="0"/>
          <w:numId w:val="139"/>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third-party service providers (TPSPs) that store, process, or transmit CHD on behalf of RedKross Intelligence, or that manage, support, or provide security services for in-scope systems.</w:t>
      </w:r>
    </w:p>
    <w:p>
      <w:pPr>
        <w:numPr>
          <w:ilvl w:val="0"/>
          <w:numId w:val="139"/>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applications, APIs, and interfaces that handle payment card data, including web applications, mobile applications, and point-of-sale (POS) systems.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Out-of-Scope Systems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Systems that have been fully isolated from the CDE through network segmentation, and which do not store, process, or transmit CHD or SAD, are considered out of scope. Network segmentation must be validated annually and after any significant changes to the CDE architecture. Documented scope reduction measures shall be maintained and reviewed during each assessment cycle.</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Geographical Scope</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This policy applies to all RedKross Intelligence operations globally, including all offices, data centers, cloud environments, and any other locations where payment card data is processed or stored, regardless of jurisdiction.</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Definitions and Acronyms</w:t>
      </w:r>
    </w:p>
    <w:tbl>
      <w:tblPr/>
      <w:tblGrid>
        <w:gridCol w:w="2400"/>
        <w:gridCol w:w="6960"/>
      </w:tblGrid>
      <w:tr>
        <w:trPr>
          <w:trHeight w:val="1" w:hRule="atLeast"/>
          <w:jc w:val="left"/>
        </w:trPr>
        <w:tc>
          <w:tcPr>
            <w:tcW w:w="24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Term / Acronym</w:t>
            </w:r>
          </w:p>
        </w:tc>
        <w:tc>
          <w:tcPr>
            <w:tcW w:w="69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Definition</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Account Data</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Cardholder Data (CHD) and/or Sensitive Authentication Data (SAD) associated with a payment card.</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CDE</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Cardholder Data Environment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the people, processes, and technologies that store, process, or transmit cardholder data or sensitive authentication data.</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CHD</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Cardholder Data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at minimum, the full PAN; may also include cardholder name, expiration date, and service code.</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SAD</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Sensitive Authentication Data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security-related information used to authenticate cardholders and/or authorize payment card transactions, including CVV/CVC, full magnetic stripe data, PIN data.</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PAN</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Primary Account Number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the unique payment card number (credit/debit/prepaid) that identifies the issuer and the specific cardholder account.</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PCI DSS</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Payment Card Industry Data Security Standard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the global security standard governing the protection of cardholder data.</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PCI SSC</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PCI Security Standards Council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the independent body responsible for developing and managing PCI security standards.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QSA</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Qualified Security Assessor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 company approved by PCI SSC to conduct PCI DSS compliance assessments.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ISA</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Internal Security Assessor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an employee who has been trained and qualified by PCI SSC to conduct PCI DSS internal assessments.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ASV</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Approved Scanning Vendor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 company approved by PCI SSC to conduct external vulnerability scanning.</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ROC</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Report on Compliance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the formal document produced by a QSA following a successful PCI DSS assessment.</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SAQ</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Self-Assessment Questionnaire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 validation tool for eligible merchants and service providers to assess their own PCI DSS compliance.</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SIEM</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Security Information and Event Management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technology that aggregates, correlates, and analyzes security event data in real time.</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MFA</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Multi-Factor Authentication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authentication requiring two or more independent verification factors.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WAF</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Web Application Firewall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 security appliance or service that monitors and filters HTTP/HTTPS traffic to and from web applications.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PAM</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Privileged Access Management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controls and tools that manage, secure, monitor, and audit privileged accounts and access.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HSM</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Hardware Security Module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 physical computing device that safeguards and manages cryptographic keys.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TPSP</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Third-Party Service Provider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an entity that stores, processes, or transmits CHD on behalf of another entity, or manages components of the CDE.</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IDS/IPS</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Intrusion Detection/Prevention System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systems that monitor network traffic for malicious activity and take action to block or alert on threats.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FIM</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File Integrity Monitoring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technology that monitors and detects changes to files and system configurations.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NGFW</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Next-Generation Firewall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an advanced firewall that includes application-level inspection, intrusion prevention, and threat intelligence.</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CVE</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Common Vulnerabilities and Exposures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 standardized list of publicly known cybersecurity vulnerabilities.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CVSS</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Common Vulnerability Scoring System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 standardized framework for rating the severity of security vulnerabilities.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EDR</w:t>
            </w:r>
          </w:p>
        </w:tc>
        <w:tc>
          <w:tcPr>
            <w:tcW w:w="69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Endpoint Detection and Response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security solutions that monitor and respond to threats on endpoint devices.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VMDR</w:t>
            </w:r>
          </w:p>
        </w:tc>
        <w:tc>
          <w:tcPr>
            <w:tcW w:w="69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Vulnerability Management, Detection, and Response </w:t>
            </w:r>
            <w:r>
              <w:rPr>
                <w:rFonts w:ascii="Calibri" w:hAnsi="Calibri" w:cs="Calibri" w:eastAsia="Calibri"/>
                <w:color w:val="000000"/>
                <w:spacing w:val="0"/>
                <w:position w:val="0"/>
                <w:sz w:val="18"/>
                <w:shd w:fill="auto" w:val="clear"/>
              </w:rPr>
              <w:t xml:space="preserve">—</w:t>
            </w:r>
            <w:r>
              <w:rPr>
                <w:rFonts w:ascii="Calibri" w:hAnsi="Calibri" w:cs="Calibri" w:eastAsia="Calibri"/>
                <w:color w:val="000000"/>
                <w:spacing w:val="0"/>
                <w:position w:val="0"/>
                <w:sz w:val="18"/>
                <w:shd w:fill="auto" w:val="clear"/>
              </w:rPr>
              <w:t xml:space="preserve"> an integrated approach to identifying and remediating vulnerabilities.</w:t>
            </w:r>
          </w:p>
        </w:tc>
      </w:tr>
    </w:tbl>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PCI DSS v4.0 Overview</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PCI DSS Version 4.0 was published by the PCI Security Standards Council in March 2022. The standard contains 12 principal requirements organized under six control objectives. As of March 31, 2025, all organizations that were previously compliant with PCI DSS 3.2.1 were required to transition to full PCI DSS v4.0 compliance, including all new requirements designated as best practices through that date.</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Six Control Objectives of PCI DSS v4.0</w:t>
      </w:r>
    </w:p>
    <w:tbl>
      <w:tblPr/>
      <w:tblGrid>
        <w:gridCol w:w="3200"/>
        <w:gridCol w:w="6160"/>
      </w:tblGrid>
      <w:tr>
        <w:trPr>
          <w:trHeight w:val="1" w:hRule="atLeast"/>
          <w:jc w:val="left"/>
        </w:trPr>
        <w:tc>
          <w:tcPr>
            <w:tcW w:w="3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Control Objective</w:t>
            </w:r>
          </w:p>
        </w:tc>
        <w:tc>
          <w:tcPr>
            <w:tcW w:w="61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PCI DSS Requirements</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Build and Maintain a Secure Network and Systems</w:t>
            </w:r>
          </w:p>
        </w:tc>
        <w:tc>
          <w:tcPr>
            <w:tcW w:w="61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200" w:line="276"/>
              <w:ind w:right="0" w:left="0" w:firstLine="0"/>
              <w:jc w:val="left"/>
              <w:rPr>
                <w:rFonts w:ascii="Calibri" w:hAnsi="Calibri" w:cs="Calibri" w:eastAsia="Calibri"/>
                <w:color w:val="000000"/>
                <w:spacing w:val="0"/>
                <w:position w:val="0"/>
                <w:sz w:val="18"/>
                <w:shd w:fill="auto" w:val="clear"/>
              </w:rPr>
            </w:pPr>
            <w:r>
              <w:rPr>
                <w:rFonts w:ascii="Calibri" w:hAnsi="Calibri" w:cs="Calibri" w:eastAsia="Calibri"/>
                <w:color w:val="000000"/>
                <w:spacing w:val="0"/>
                <w:position w:val="0"/>
                <w:sz w:val="18"/>
                <w:shd w:fill="auto" w:val="clear"/>
              </w:rPr>
              <w:t xml:space="preserve">Requirement 1: Install and maintain network security controls</w:t>
            </w:r>
          </w:p>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Requirement 2: Apply secure configurations to all system components</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Protect Account Data</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200" w:line="276"/>
              <w:ind w:right="0" w:left="0" w:firstLine="0"/>
              <w:jc w:val="left"/>
              <w:rPr>
                <w:rFonts w:ascii="Calibri" w:hAnsi="Calibri" w:cs="Calibri" w:eastAsia="Calibri"/>
                <w:color w:val="000000"/>
                <w:spacing w:val="0"/>
                <w:position w:val="0"/>
                <w:sz w:val="18"/>
                <w:shd w:fill="auto" w:val="clear"/>
              </w:rPr>
            </w:pPr>
            <w:r>
              <w:rPr>
                <w:rFonts w:ascii="Calibri" w:hAnsi="Calibri" w:cs="Calibri" w:eastAsia="Calibri"/>
                <w:color w:val="000000"/>
                <w:spacing w:val="0"/>
                <w:position w:val="0"/>
                <w:sz w:val="18"/>
                <w:shd w:fill="auto" w:val="clear"/>
              </w:rPr>
              <w:t xml:space="preserve">Requirement 3: Protect stored account data</w:t>
            </w:r>
          </w:p>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Requirement 4: Protect cardholder data with strong cryptography during transmission</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Maintain a Vulnerability Management Program</w:t>
            </w:r>
          </w:p>
        </w:tc>
        <w:tc>
          <w:tcPr>
            <w:tcW w:w="61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200" w:line="276"/>
              <w:ind w:right="0" w:left="0" w:firstLine="0"/>
              <w:jc w:val="left"/>
              <w:rPr>
                <w:rFonts w:ascii="Calibri" w:hAnsi="Calibri" w:cs="Calibri" w:eastAsia="Calibri"/>
                <w:color w:val="000000"/>
                <w:spacing w:val="0"/>
                <w:position w:val="0"/>
                <w:sz w:val="18"/>
                <w:shd w:fill="auto" w:val="clear"/>
              </w:rPr>
            </w:pPr>
            <w:r>
              <w:rPr>
                <w:rFonts w:ascii="Calibri" w:hAnsi="Calibri" w:cs="Calibri" w:eastAsia="Calibri"/>
                <w:color w:val="000000"/>
                <w:spacing w:val="0"/>
                <w:position w:val="0"/>
                <w:sz w:val="18"/>
                <w:shd w:fill="auto" w:val="clear"/>
              </w:rPr>
              <w:t xml:space="preserve">Requirement 5: Protect all systems and networks from malicious software</w:t>
            </w:r>
          </w:p>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Requirement 6: Develop and maintain secure systems and software</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Implement Strong Access Control Measures</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200" w:line="276"/>
              <w:ind w:right="0" w:left="0" w:firstLine="0"/>
              <w:jc w:val="left"/>
              <w:rPr>
                <w:rFonts w:ascii="Calibri" w:hAnsi="Calibri" w:cs="Calibri" w:eastAsia="Calibri"/>
                <w:color w:val="000000"/>
                <w:spacing w:val="0"/>
                <w:position w:val="0"/>
                <w:sz w:val="18"/>
                <w:shd w:fill="auto" w:val="clear"/>
              </w:rPr>
            </w:pPr>
            <w:r>
              <w:rPr>
                <w:rFonts w:ascii="Calibri" w:hAnsi="Calibri" w:cs="Calibri" w:eastAsia="Calibri"/>
                <w:color w:val="000000"/>
                <w:spacing w:val="0"/>
                <w:position w:val="0"/>
                <w:sz w:val="18"/>
                <w:shd w:fill="auto" w:val="clear"/>
              </w:rPr>
              <w:t xml:space="preserve">Requirement 7: Restrict access to system components and cardholder data by business need to know</w:t>
            </w:r>
          </w:p>
          <w:p>
            <w:pPr>
              <w:spacing w:before="0" w:after="200" w:line="276"/>
              <w:ind w:right="0" w:left="0" w:firstLine="0"/>
              <w:jc w:val="left"/>
              <w:rPr>
                <w:rFonts w:ascii="Calibri" w:hAnsi="Calibri" w:cs="Calibri" w:eastAsia="Calibri"/>
                <w:color w:val="000000"/>
                <w:spacing w:val="0"/>
                <w:position w:val="0"/>
                <w:sz w:val="18"/>
                <w:shd w:fill="auto" w:val="clear"/>
              </w:rPr>
            </w:pPr>
            <w:r>
              <w:rPr>
                <w:rFonts w:ascii="Calibri" w:hAnsi="Calibri" w:cs="Calibri" w:eastAsia="Calibri"/>
                <w:color w:val="000000"/>
                <w:spacing w:val="0"/>
                <w:position w:val="0"/>
                <w:sz w:val="18"/>
                <w:shd w:fill="auto" w:val="clear"/>
              </w:rPr>
              <w:t xml:space="preserve">Requirement 8: Identify users and authenticate access to system components</w:t>
            </w:r>
          </w:p>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Requirement 9: Restrict physical access to cardholder data</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Regularly Monitor and Test Networks</w:t>
            </w:r>
          </w:p>
        </w:tc>
        <w:tc>
          <w:tcPr>
            <w:tcW w:w="61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200" w:line="276"/>
              <w:ind w:right="0" w:left="0" w:firstLine="0"/>
              <w:jc w:val="left"/>
              <w:rPr>
                <w:rFonts w:ascii="Calibri" w:hAnsi="Calibri" w:cs="Calibri" w:eastAsia="Calibri"/>
                <w:color w:val="000000"/>
                <w:spacing w:val="0"/>
                <w:position w:val="0"/>
                <w:sz w:val="18"/>
                <w:shd w:fill="auto" w:val="clear"/>
              </w:rPr>
            </w:pPr>
            <w:r>
              <w:rPr>
                <w:rFonts w:ascii="Calibri" w:hAnsi="Calibri" w:cs="Calibri" w:eastAsia="Calibri"/>
                <w:color w:val="000000"/>
                <w:spacing w:val="0"/>
                <w:position w:val="0"/>
                <w:sz w:val="18"/>
                <w:shd w:fill="auto" w:val="clear"/>
              </w:rPr>
              <w:t xml:space="preserve">Requirement 10: Log and monitor all access to system components and cardholder data</w:t>
            </w:r>
          </w:p>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Requirement 11: Test security of systems and networks regularly</w:t>
            </w:r>
          </w:p>
        </w:tc>
      </w:tr>
      <w:tr>
        <w:trPr>
          <w:trHeight w:val="1" w:hRule="atLeast"/>
          <w:jc w:val="left"/>
        </w:trPr>
        <w:tc>
          <w:tcPr>
            <w:tcW w:w="3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Maintain an Information Security Policy</w:t>
            </w:r>
          </w:p>
        </w:tc>
        <w:tc>
          <w:tcPr>
            <w:tcW w:w="6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Requirement 12: Support information security with organizational policies and programs</w:t>
            </w:r>
          </w:p>
        </w:tc>
      </w:tr>
    </w:tbl>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Key Changes in PCI DSS v4.0</w:t>
      </w:r>
    </w:p>
    <w:p>
      <w:pPr>
        <w:numPr>
          <w:ilvl w:val="0"/>
          <w:numId w:val="26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Customized Approach: Organizations may now implement security controls using alternative methods that achieve the stated security objective of each requirement, provided they document the control, perform a risk analysis, and validate through testing.</w:t>
      </w:r>
    </w:p>
    <w:p>
      <w:pPr>
        <w:numPr>
          <w:ilvl w:val="0"/>
          <w:numId w:val="26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Enhanced Authentication: MFA is now required for all access to the CDE, not only administrative access. Password/passphrase requirements have been updated.</w:t>
      </w:r>
    </w:p>
    <w:p>
      <w:pPr>
        <w:numPr>
          <w:ilvl w:val="0"/>
          <w:numId w:val="26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Targeted Risk Analysis: Organizations must perform targeted risk analyses for requirements that offer flexibility in implementation frequency, to ensure controls remain appropriate to the organization's risk environment.</w:t>
      </w:r>
    </w:p>
    <w:p>
      <w:pPr>
        <w:numPr>
          <w:ilvl w:val="0"/>
          <w:numId w:val="26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Expanded Scope Clarity: The standard provides enhanced guidance on network segmentation validation, third-party management, and the delineation of CDE boundaries.</w:t>
      </w:r>
    </w:p>
    <w:p>
      <w:pPr>
        <w:numPr>
          <w:ilvl w:val="0"/>
          <w:numId w:val="26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E-commerce Security: New requirements address the security of payment page scripts and protection of browser-based payment forms against attacks such as Magecart/skimming.</w:t>
      </w:r>
    </w:p>
    <w:p>
      <w:pPr>
        <w:numPr>
          <w:ilvl w:val="0"/>
          <w:numId w:val="26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Continuous Security: The standard reinforces that PCI DSS compliance is an ongoing process requiring continuous monitoring, testing, and review rather than a periodic assessment exercise.</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Cardholder Data Environment (CDE)</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CDE Definition and Boundaries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The Cardholder Data Environment (CDE) at RedKross Intelligence encompasses all system components that store, process, or transmit cardholder data (CHD) or sensitive authentication data (SAD), as well as all networks and network devices within the same network segment as those systems. The CDE boundary shall be formally documented, maintained, and reviewed annually and after any significant change to the network topology or payment processing infrastructure.</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Cardholder Data Flow Diagram</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maintain current, accurate, and comprehensive cardholder data flow diagrams that document all locations where CHD and SAD enter, reside within, and exit the CDE. These diagrams shall include all data flows between systems, applications, and external entities, including third-party processors and service providers.</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Cardholder Data Flow Matrix</w:t>
      </w:r>
    </w:p>
    <w:tbl>
      <w:tblPr/>
      <w:tblGrid>
        <w:gridCol w:w="1800"/>
        <w:gridCol w:w="1800"/>
        <w:gridCol w:w="1600"/>
        <w:gridCol w:w="1600"/>
        <w:gridCol w:w="1560"/>
        <w:gridCol w:w="1000"/>
        <w:gridCol w:w="1000"/>
      </w:tblGrid>
      <w:tr>
        <w:trPr>
          <w:trHeight w:val="1" w:hRule="atLeast"/>
          <w:jc w:val="left"/>
        </w:trPr>
        <w:tc>
          <w:tcPr>
            <w:tcW w:w="18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Source System</w:t>
            </w:r>
          </w:p>
        </w:tc>
        <w:tc>
          <w:tcPr>
            <w:tcW w:w="18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Destination System</w:t>
            </w:r>
          </w:p>
        </w:tc>
        <w:tc>
          <w:tcPr>
            <w:tcW w:w="16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Data Elements Transmitted</w:t>
            </w:r>
          </w:p>
        </w:tc>
        <w:tc>
          <w:tcPr>
            <w:tcW w:w="16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Transmission Method</w:t>
            </w:r>
          </w:p>
        </w:tc>
        <w:tc>
          <w:tcPr>
            <w:tcW w:w="15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Encryption Protocol</w:t>
            </w:r>
          </w:p>
        </w:tc>
        <w:tc>
          <w:tcPr>
            <w:tcW w:w="10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Business Purpose</w:t>
            </w:r>
          </w:p>
        </w:tc>
        <w:tc>
          <w:tcPr>
            <w:tcW w:w="10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Risk Level</w:t>
            </w:r>
          </w:p>
        </w:tc>
      </w:tr>
      <w:tr>
        <w:trPr>
          <w:trHeight w:val="1" w:hRule="atLeast"/>
          <w:jc w:val="left"/>
        </w:trPr>
        <w:tc>
          <w:tcPr>
            <w:tcW w:w="18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POS Terminal</w:t>
            </w:r>
          </w:p>
        </w:tc>
        <w:tc>
          <w:tcPr>
            <w:tcW w:w="18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Payment Gateway</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PAN, Expiry, CVV</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HTTPS/TLS 1.3</w:t>
            </w:r>
          </w:p>
        </w:tc>
        <w:tc>
          <w:tcPr>
            <w:tcW w:w="1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AES-256</w:t>
            </w:r>
          </w:p>
        </w:tc>
        <w:tc>
          <w:tcPr>
            <w:tcW w:w="1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Transaction Auth</w:t>
            </w:r>
          </w:p>
        </w:tc>
        <w:tc>
          <w:tcPr>
            <w:tcW w:w="1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HIGH</w:t>
            </w:r>
          </w:p>
        </w:tc>
      </w:tr>
      <w:tr>
        <w:trPr>
          <w:trHeight w:val="1" w:hRule="atLeast"/>
          <w:jc w:val="left"/>
        </w:trPr>
        <w:tc>
          <w:tcPr>
            <w:tcW w:w="18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Payment Gateway</w:t>
            </w:r>
          </w:p>
        </w:tc>
        <w:tc>
          <w:tcPr>
            <w:tcW w:w="18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Acquiring Bank</w:t>
            </w:r>
          </w:p>
        </w:tc>
        <w:tc>
          <w:tcPr>
            <w:tcW w:w="16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PAN (truncated), Auth Code</w:t>
            </w:r>
          </w:p>
        </w:tc>
        <w:tc>
          <w:tcPr>
            <w:tcW w:w="16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Encrypted API</w:t>
            </w:r>
          </w:p>
        </w:tc>
        <w:tc>
          <w:tcPr>
            <w:tcW w:w="15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TLS 1.3</w:t>
            </w:r>
          </w:p>
        </w:tc>
        <w:tc>
          <w:tcPr>
            <w:tcW w:w="1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Settlement</w:t>
            </w:r>
          </w:p>
        </w:tc>
        <w:tc>
          <w:tcPr>
            <w:tcW w:w="1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HIGH</w:t>
            </w:r>
          </w:p>
        </w:tc>
      </w:tr>
      <w:tr>
        <w:trPr>
          <w:trHeight w:val="1" w:hRule="atLeast"/>
          <w:jc w:val="left"/>
        </w:trPr>
        <w:tc>
          <w:tcPr>
            <w:tcW w:w="18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CDE Database</w:t>
            </w:r>
          </w:p>
        </w:tc>
        <w:tc>
          <w:tcPr>
            <w:tcW w:w="18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Backup System (CDE)</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Tokenized PAN only</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Encrypted backup agent</w:t>
            </w:r>
          </w:p>
        </w:tc>
        <w:tc>
          <w:tcPr>
            <w:tcW w:w="1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AES-256</w:t>
            </w:r>
          </w:p>
        </w:tc>
        <w:tc>
          <w:tcPr>
            <w:tcW w:w="1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Disaster Recovery</w:t>
            </w:r>
          </w:p>
        </w:tc>
        <w:tc>
          <w:tcPr>
            <w:tcW w:w="1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MEDIUM</w:t>
            </w:r>
          </w:p>
        </w:tc>
      </w:tr>
      <w:tr>
        <w:trPr>
          <w:trHeight w:val="1" w:hRule="atLeast"/>
          <w:jc w:val="left"/>
        </w:trPr>
        <w:tc>
          <w:tcPr>
            <w:tcW w:w="18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Web App (E-commerce)</w:t>
            </w:r>
          </w:p>
        </w:tc>
        <w:tc>
          <w:tcPr>
            <w:tcW w:w="18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Payment Processor</w:t>
            </w:r>
          </w:p>
        </w:tc>
        <w:tc>
          <w:tcPr>
            <w:tcW w:w="16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PAN, Expiry</w:t>
            </w:r>
          </w:p>
        </w:tc>
        <w:tc>
          <w:tcPr>
            <w:tcW w:w="16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HTTPS redirect/iFrame</w:t>
            </w:r>
          </w:p>
        </w:tc>
        <w:tc>
          <w:tcPr>
            <w:tcW w:w="15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TLS 1.3, tokenization</w:t>
            </w:r>
          </w:p>
        </w:tc>
        <w:tc>
          <w:tcPr>
            <w:tcW w:w="1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Online Payment</w:t>
            </w:r>
          </w:p>
        </w:tc>
        <w:tc>
          <w:tcPr>
            <w:tcW w:w="1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HIGH</w:t>
            </w:r>
          </w:p>
        </w:tc>
      </w:tr>
      <w:tr>
        <w:trPr>
          <w:trHeight w:val="1" w:hRule="atLeast"/>
          <w:jc w:val="left"/>
        </w:trPr>
        <w:tc>
          <w:tcPr>
            <w:tcW w:w="18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SIEM (QRadar)</w:t>
            </w:r>
          </w:p>
        </w:tc>
        <w:tc>
          <w:tcPr>
            <w:tcW w:w="18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Audit Log Repository</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Masked PAN in logs only</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Encrypted syslog (TLS)</w:t>
            </w:r>
          </w:p>
        </w:tc>
        <w:tc>
          <w:tcPr>
            <w:tcW w:w="1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TLS 1.3</w:t>
            </w:r>
          </w:p>
        </w:tc>
        <w:tc>
          <w:tcPr>
            <w:tcW w:w="1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Audit &amp; Monitoring</w:t>
            </w:r>
          </w:p>
        </w:tc>
        <w:tc>
          <w:tcPr>
            <w:tcW w:w="1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LOW</w:t>
            </w:r>
          </w:p>
        </w:tc>
      </w:tr>
    </w:tbl>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Payment Processing Security</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3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Protect Stored Account Data</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implement and maintain controls to ensure that stored account data is protected at all times. The following requirements are mandatory:</w:t>
      </w:r>
    </w:p>
    <w:p>
      <w:pPr>
        <w:numPr>
          <w:ilvl w:val="0"/>
          <w:numId w:val="29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full contents of any track from a payment card's magnetic stripe (equivalent data on a chip), card verification codes or values (CVV/CVC), PINs and PIN blocks shall NEVER be stored following transaction authorization, regardless of encryption status.</w:t>
      </w:r>
    </w:p>
    <w:p>
      <w:pPr>
        <w:numPr>
          <w:ilvl w:val="0"/>
          <w:numId w:val="29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Primary Account Number (PAN) shall only be stored where there is a legitimate and documented business need. Stored PAN must be rendered unreadable using strong cryptography, tokenization, or one-way hashing.</w:t>
      </w:r>
    </w:p>
    <w:p>
      <w:pPr>
        <w:numPr>
          <w:ilvl w:val="0"/>
          <w:numId w:val="29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Where full PANs are displayed on screen or in printed output, they shall be masked to display no more than the first six and last four digits.</w:t>
      </w:r>
    </w:p>
    <w:p>
      <w:pPr>
        <w:numPr>
          <w:ilvl w:val="0"/>
          <w:numId w:val="29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Organization shall implement and maintain tokenization as the primary mechanism for reducing PAN storage, using a validated tokenization solution.</w:t>
      </w:r>
    </w:p>
    <w:p>
      <w:pPr>
        <w:numPr>
          <w:ilvl w:val="0"/>
          <w:numId w:val="29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Cryptographic keys used to protect stored account data shall be managed in accordance with the Encryption and Key Management section of this policy.</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4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Protect Cardholder Data During Transmission</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All transmission of cardholder data over open, public networks shall be encrypted using strong cryptography. The following controls are mandatory:</w:t>
      </w:r>
    </w:p>
    <w:p>
      <w:pPr>
        <w:numPr>
          <w:ilvl w:val="0"/>
          <w:numId w:val="29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TLS 1.2 shall be the minimum acceptable protocol version for all transmissions of CHD. TLS 1.3 is the required standard for all new implementations as of the effective date of this policy.</w:t>
      </w:r>
    </w:p>
    <w:p>
      <w:pPr>
        <w:numPr>
          <w:ilvl w:val="0"/>
          <w:numId w:val="29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SSL and early TLS (versions 1.0 and 1.1) are strictly prohibited for all transmissions of CHD and are not accepted as security controls.</w:t>
      </w:r>
    </w:p>
    <w:p>
      <w:pPr>
        <w:numPr>
          <w:ilvl w:val="0"/>
          <w:numId w:val="29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Only trusted keys/certificates shall be accepted during transmission of CHD.</w:t>
      </w:r>
    </w:p>
    <w:p>
      <w:pPr>
        <w:numPr>
          <w:ilvl w:val="0"/>
          <w:numId w:val="29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Organization shall maintain an inventory of all trusted keys and certificates used to protect CHD during transmission.</w:t>
      </w:r>
    </w:p>
    <w:p>
      <w:pPr>
        <w:numPr>
          <w:ilvl w:val="0"/>
          <w:numId w:val="29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For e-commerce payment pages, the Organization shall implement script integrity controls and monitor for unauthorized modifications using Imperva WAF and Content Security Policy (CSP) headers.</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Data Classification Standards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Data Classification Framework</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maintain a formal data classification policy that categorizes all organizational data according to its sensitivity and the requirements for its protection. The following classification matrix applies to all data handled within the CDE and related environments:</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Data Classification Matrix</w:t>
      </w:r>
    </w:p>
    <w:tbl>
      <w:tblPr/>
      <w:tblGrid>
        <w:gridCol w:w="1400"/>
        <w:gridCol w:w="2000"/>
        <w:gridCol w:w="2200"/>
        <w:gridCol w:w="2000"/>
        <w:gridCol w:w="1760"/>
      </w:tblGrid>
      <w:tr>
        <w:trPr>
          <w:trHeight w:val="1" w:hRule="atLeast"/>
          <w:jc w:val="left"/>
        </w:trPr>
        <w:tc>
          <w:tcPr>
            <w:tcW w:w="14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Classification</w:t>
            </w:r>
          </w:p>
        </w:tc>
        <w:tc>
          <w:tcPr>
            <w:tcW w:w="20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Data Types</w:t>
            </w:r>
          </w:p>
        </w:tc>
        <w:tc>
          <w:tcPr>
            <w:tcW w:w="2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Examples</w:t>
            </w:r>
          </w:p>
        </w:tc>
        <w:tc>
          <w:tcPr>
            <w:tcW w:w="20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Handling Requirements</w:t>
            </w:r>
          </w:p>
        </w:tc>
        <w:tc>
          <w:tcPr>
            <w:tcW w:w="17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Retention</w:t>
            </w:r>
          </w:p>
        </w:tc>
      </w:tr>
      <w:tr>
        <w:trPr>
          <w:trHeight w:val="1" w:hRule="atLeast"/>
          <w:jc w:val="left"/>
        </w:trPr>
        <w:tc>
          <w:tcPr>
            <w:tcW w:w="1400" w:type="dxa"/>
            <w:tcBorders>
              <w:top w:val="single" w:color="bbcce0" w:sz="1"/>
              <w:left w:val="single" w:color="bbcce0" w:sz="1"/>
              <w:bottom w:val="single" w:color="bbcce0" w:sz="1"/>
              <w:right w:val="single" w:color="bbcce0" w:sz="1"/>
            </w:tcBorders>
            <w:shd w:color="000000" w:fill="ffe0e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RESTRICTED</w:t>
            </w:r>
          </w:p>
        </w:tc>
        <w:tc>
          <w:tcPr>
            <w:tcW w:w="2000" w:type="dxa"/>
            <w:tcBorders>
              <w:top w:val="single" w:color="bbcce0" w:sz="1"/>
              <w:left w:val="single" w:color="bbcce0" w:sz="1"/>
              <w:bottom w:val="single" w:color="bbcce0" w:sz="1"/>
              <w:right w:val="single" w:color="bbcce0" w:sz="1"/>
            </w:tcBorders>
            <w:shd w:color="000000" w:fill="ffe0e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Sensitive Authentication Data (SAD)</w:t>
            </w:r>
          </w:p>
        </w:tc>
        <w:tc>
          <w:tcPr>
            <w:tcW w:w="2200" w:type="dxa"/>
            <w:tcBorders>
              <w:top w:val="single" w:color="bbcce0" w:sz="1"/>
              <w:left w:val="single" w:color="bbcce0" w:sz="1"/>
              <w:bottom w:val="single" w:color="bbcce0" w:sz="1"/>
              <w:right w:val="single" w:color="bbcce0" w:sz="1"/>
            </w:tcBorders>
            <w:shd w:color="000000" w:fill="ffe0e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Full magnetic stripe, CVV/CVC, PIN/PIN block</w:t>
            </w:r>
          </w:p>
        </w:tc>
        <w:tc>
          <w:tcPr>
            <w:tcW w:w="2000" w:type="dxa"/>
            <w:tcBorders>
              <w:top w:val="single" w:color="bbcce0" w:sz="1"/>
              <w:left w:val="single" w:color="bbcce0" w:sz="1"/>
              <w:bottom w:val="single" w:color="bbcce0" w:sz="1"/>
              <w:right w:val="single" w:color="bbcce0" w:sz="1"/>
            </w:tcBorders>
            <w:shd w:color="000000" w:fill="ffe0e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NEVER stored post-auth; encrypted in transit; access by QSA/CISO only</w:t>
            </w:r>
          </w:p>
        </w:tc>
        <w:tc>
          <w:tcPr>
            <w:tcW w:w="1760" w:type="dxa"/>
            <w:tcBorders>
              <w:top w:val="single" w:color="bbcce0" w:sz="1"/>
              <w:left w:val="single" w:color="bbcce0" w:sz="1"/>
              <w:bottom w:val="single" w:color="bbcce0" w:sz="1"/>
              <w:right w:val="single" w:color="bbcce0" w:sz="1"/>
            </w:tcBorders>
            <w:shd w:color="000000" w:fill="ffe0e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NOT retained post-authorization</w:t>
            </w:r>
          </w:p>
        </w:tc>
      </w:tr>
      <w:tr>
        <w:trPr>
          <w:trHeight w:val="1" w:hRule="atLeast"/>
          <w:jc w:val="left"/>
        </w:trPr>
        <w:tc>
          <w:tcPr>
            <w:tcW w:w="1400" w:type="dxa"/>
            <w:tcBorders>
              <w:top w:val="single" w:color="bbcce0" w:sz="1"/>
              <w:left w:val="single" w:color="bbcce0" w:sz="1"/>
              <w:bottom w:val="single" w:color="bbcce0" w:sz="1"/>
              <w:right w:val="single" w:color="bbcce0" w:sz="1"/>
            </w:tcBorders>
            <w:shd w:color="000000" w:fill="fff0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CONFIDENTIAL</w:t>
            </w:r>
          </w:p>
        </w:tc>
        <w:tc>
          <w:tcPr>
            <w:tcW w:w="2000" w:type="dxa"/>
            <w:tcBorders>
              <w:top w:val="single" w:color="bbcce0" w:sz="1"/>
              <w:left w:val="single" w:color="bbcce0" w:sz="1"/>
              <w:bottom w:val="single" w:color="bbcce0" w:sz="1"/>
              <w:right w:val="single" w:color="bbcce0" w:sz="1"/>
            </w:tcBorders>
            <w:shd w:color="000000" w:fill="fff0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Cardholder Data (CHD)</w:t>
            </w:r>
          </w:p>
        </w:tc>
        <w:tc>
          <w:tcPr>
            <w:tcW w:w="2200" w:type="dxa"/>
            <w:tcBorders>
              <w:top w:val="single" w:color="bbcce0" w:sz="1"/>
              <w:left w:val="single" w:color="bbcce0" w:sz="1"/>
              <w:bottom w:val="single" w:color="bbcce0" w:sz="1"/>
              <w:right w:val="single" w:color="bbcce0" w:sz="1"/>
            </w:tcBorders>
            <w:shd w:color="000000" w:fill="fff0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Full PAN, cardholder name, expiration date, service code</w:t>
            </w:r>
          </w:p>
        </w:tc>
        <w:tc>
          <w:tcPr>
            <w:tcW w:w="2000" w:type="dxa"/>
            <w:tcBorders>
              <w:top w:val="single" w:color="bbcce0" w:sz="1"/>
              <w:left w:val="single" w:color="bbcce0" w:sz="1"/>
              <w:bottom w:val="single" w:color="bbcce0" w:sz="1"/>
              <w:right w:val="single" w:color="bbcce0" w:sz="1"/>
            </w:tcBorders>
            <w:shd w:color="000000" w:fill="fff0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Encrypted at rest (AES-256); masked in display; MFA required for access</w:t>
            </w:r>
          </w:p>
        </w:tc>
        <w:tc>
          <w:tcPr>
            <w:tcW w:w="1760" w:type="dxa"/>
            <w:tcBorders>
              <w:top w:val="single" w:color="bbcce0" w:sz="1"/>
              <w:left w:val="single" w:color="bbcce0" w:sz="1"/>
              <w:bottom w:val="single" w:color="bbcce0" w:sz="1"/>
              <w:right w:val="single" w:color="bbcce0" w:sz="1"/>
            </w:tcBorders>
            <w:shd w:color="000000" w:fill="fff0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Minimum necessary; max 7 years per legal obligation</w:t>
            </w:r>
          </w:p>
        </w:tc>
      </w:tr>
      <w:tr>
        <w:trPr>
          <w:trHeight w:val="1" w:hRule="atLeast"/>
          <w:jc w:val="left"/>
        </w:trPr>
        <w:tc>
          <w:tcPr>
            <w:tcW w:w="140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INTERNAL</w:t>
            </w:r>
          </w:p>
        </w:tc>
        <w:tc>
          <w:tcPr>
            <w:tcW w:w="200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Internal business data</w:t>
            </w:r>
          </w:p>
        </w:tc>
        <w:tc>
          <w:tcPr>
            <w:tcW w:w="220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Transaction logs (masked), internal reports, audit trails</w:t>
            </w:r>
          </w:p>
        </w:tc>
        <w:tc>
          <w:tcPr>
            <w:tcW w:w="200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Role-based access; encrypted in transit; not shared externally without approval</w:t>
            </w:r>
          </w:p>
        </w:tc>
        <w:tc>
          <w:tcPr>
            <w:tcW w:w="176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As required by business and legal requirements</w:t>
            </w:r>
          </w:p>
        </w:tc>
      </w:tr>
      <w:tr>
        <w:trPr>
          <w:trHeight w:val="1" w:hRule="atLeast"/>
          <w:jc w:val="left"/>
        </w:trPr>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PUBLIC</w:t>
            </w:r>
          </w:p>
        </w:tc>
        <w:tc>
          <w:tcPr>
            <w:tcW w:w="2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Publicly available information</w:t>
            </w:r>
          </w:p>
        </w:tc>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Marketing materials, public website content, published policies</w:t>
            </w:r>
          </w:p>
        </w:tc>
        <w:tc>
          <w:tcPr>
            <w:tcW w:w="2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No special handling required; review prior to publication</w:t>
            </w:r>
          </w:p>
        </w:tc>
        <w:tc>
          <w:tcPr>
            <w:tcW w:w="17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As required</w:t>
            </w:r>
          </w:p>
        </w:tc>
      </w:tr>
    </w:tbl>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Data Handling Requirements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All personnel with access to cardholder data or sensitive authentication data shall adhere to the following mandatory data handling requirements: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Data at Rest</w:t>
      </w:r>
    </w:p>
    <w:p>
      <w:pPr>
        <w:numPr>
          <w:ilvl w:val="0"/>
          <w:numId w:val="3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stored CHD shall be rendered unreadable through the implementation of strong, industry-accepted cryptography (minimum AES-256) or through tokenization using a validated tokenization solution.</w:t>
      </w:r>
    </w:p>
    <w:p>
      <w:pPr>
        <w:numPr>
          <w:ilvl w:val="0"/>
          <w:numId w:val="3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Cryptographic key management procedures shall be documented and implemented in accordance with the Encryption and Key Management section of this policy.</w:t>
      </w:r>
    </w:p>
    <w:p>
      <w:pPr>
        <w:numPr>
          <w:ilvl w:val="0"/>
          <w:numId w:val="3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Organization shall maintain a complete inventory of all data stores containing CHD, including databases, flat files, backup media, and cloud storage.</w:t>
      </w:r>
    </w:p>
    <w:p>
      <w:pPr>
        <w:numPr>
          <w:ilvl w:val="0"/>
          <w:numId w:val="3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Data minimization principles shall be applied; CHD shall only be retained where there is a documented and legitimate business need.</w:t>
      </w:r>
    </w:p>
    <w:p>
      <w:pPr>
        <w:numPr>
          <w:ilvl w:val="0"/>
          <w:numId w:val="3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Secure deletion procedures shall be applied to all CHD when retention periods expire, using NIST SP 800-88 or equivalent standards for media sanitization.</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Data in Transit</w:t>
      </w:r>
    </w:p>
    <w:p>
      <w:pPr>
        <w:numPr>
          <w:ilvl w:val="0"/>
          <w:numId w:val="32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CHD transmitted over open or public networks shall be encrypted using TLS 1.3 or, at minimum, TLS 1.2.</w:t>
      </w:r>
    </w:p>
    <w:p>
      <w:pPr>
        <w:numPr>
          <w:ilvl w:val="0"/>
          <w:numId w:val="32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Email, instant messaging, and other insecure communication channels shall never be used to transmit unencrypted CHD.</w:t>
      </w:r>
    </w:p>
    <w:p>
      <w:pPr>
        <w:numPr>
          <w:ilvl w:val="0"/>
          <w:numId w:val="32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API communications involving CHD shall be secured using mutual TLS (mTLS) or equivalent strong authentication and encryption mechanisms.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Data in Use</w:t>
      </w:r>
    </w:p>
    <w:p>
      <w:pPr>
        <w:numPr>
          <w:ilvl w:val="0"/>
          <w:numId w:val="322"/>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CHD shall only be displayed or accessible to personnel with a demonstrated and documented business need.</w:t>
      </w:r>
    </w:p>
    <w:p>
      <w:pPr>
        <w:numPr>
          <w:ilvl w:val="0"/>
          <w:numId w:val="322"/>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Screen masking and application-level controls shall prevent unauthorized display of full PAN values.</w:t>
      </w:r>
    </w:p>
    <w:p>
      <w:pPr>
        <w:numPr>
          <w:ilvl w:val="0"/>
          <w:numId w:val="322"/>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Personnel shall be prohibited from copying, printing, or exporting CHD except where specifically authorized and logged.</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Network Security Controls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1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Install and Maintain Network Security Controls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implement and maintain a comprehensive network security architecture that protects the CDE from unauthorized access and provides effective segmentation from non-CDE environments. The following controls are mandatory:</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Network Segmentation</w:t>
      </w:r>
    </w:p>
    <w:p>
      <w:pPr>
        <w:numPr>
          <w:ilvl w:val="0"/>
          <w:numId w:val="32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CDE shall be isolated from all other network segments through the implementation of firewalls, next-generation firewalls, or equivalent network security controls. Palo Alto NGFW and Cisco Firepower shall be the primary network security platforms.</w:t>
      </w:r>
    </w:p>
    <w:p>
      <w:pPr>
        <w:numPr>
          <w:ilvl w:val="0"/>
          <w:numId w:val="32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Network segmentation shall be validated at least annually and following any significant changes to network architecture or CDE scope.</w:t>
      </w:r>
    </w:p>
    <w:p>
      <w:pPr>
        <w:numPr>
          <w:ilvl w:val="0"/>
          <w:numId w:val="32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Wireless networks shall be segregated from the CDE. No wireless access points shall be deployed within the CDE boundary without explicit written approval from the CISO.</w:t>
      </w:r>
    </w:p>
    <w:p>
      <w:pPr>
        <w:numPr>
          <w:ilvl w:val="0"/>
          <w:numId w:val="32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DMZ zones shall be established for all internet-facing systems. Web application traffic shall be inspected by Imperva WAF prior to reaching CDE systems.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Firewall Requirements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All firewalls and network security devices protecting the CDE shall be configured in accordance with the following mandatory requirements:</w:t>
      </w:r>
    </w:p>
    <w:p>
      <w:pPr>
        <w:numPr>
          <w:ilvl w:val="0"/>
          <w:numId w:val="33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Default 'deny-all' policies shall be implemented on all inbound and outbound connections to the CDE. Only explicitly approved and documented traffic shall be permitted.</w:t>
      </w:r>
    </w:p>
    <w:p>
      <w:pPr>
        <w:numPr>
          <w:ilvl w:val="0"/>
          <w:numId w:val="33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Firewall rule sets shall be reviewed at least every six months, with a formal review process that includes the CISO and network security team.</w:t>
      </w:r>
    </w:p>
    <w:p>
      <w:pPr>
        <w:numPr>
          <w:ilvl w:val="0"/>
          <w:numId w:val="33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firewall changes shall follow the Organization's formal change management process and shall be documented, tested, and approved prior to implementation.</w:t>
      </w:r>
    </w:p>
    <w:p>
      <w:pPr>
        <w:numPr>
          <w:ilvl w:val="0"/>
          <w:numId w:val="33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Stateful inspection shall be enabled on all firewalls protecting the CDE.</w:t>
      </w:r>
    </w:p>
    <w:p>
      <w:pPr>
        <w:numPr>
          <w:ilvl w:val="0"/>
          <w:numId w:val="33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Network Address Translation (NAT) shall be implemented to prevent internal IP addresses from being exposed to external networks.</w:t>
      </w:r>
    </w:p>
    <w:p>
      <w:pPr>
        <w:numPr>
          <w:ilvl w:val="0"/>
          <w:numId w:val="33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network traffic shall be logged. Logs shall be forwarded to IBM QRadar SIEM for centralized analysis and alerting.</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Secure Configuration Standards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2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Apply Secure Configurations to All System Components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establish and maintain secure configuration standards for all system components within and connected to the CDE. All systems shall be hardened prior to deployment and maintained in a hardened state throughout their operational lifecycle.</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System Hardening Requirements</w:t>
      </w:r>
    </w:p>
    <w:p>
      <w:pPr>
        <w:numPr>
          <w:ilvl w:val="0"/>
          <w:numId w:val="3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systems shall be configured using vendor-provided hardening guides (CIS Benchmarks, DISA STIGs, or equivalent) as the baseline configuration standard.</w:t>
      </w:r>
    </w:p>
    <w:p>
      <w:pPr>
        <w:numPr>
          <w:ilvl w:val="0"/>
          <w:numId w:val="3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Default passwords and security parameters shall be changed before any system component is deployed to a production environment. Default vendor-supplied accounts that are not used shall be disabled or removed.</w:t>
      </w:r>
    </w:p>
    <w:p>
      <w:pPr>
        <w:numPr>
          <w:ilvl w:val="0"/>
          <w:numId w:val="3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Only necessary services, protocols, and components shall be enabled. All unnecessary services, ports, protocols, and functions shall be disabled or removed.</w:t>
      </w:r>
    </w:p>
    <w:p>
      <w:pPr>
        <w:numPr>
          <w:ilvl w:val="0"/>
          <w:numId w:val="3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system components shall be configured to utilize strong cryptography for all administrative access and sensitive communications.</w:t>
      </w:r>
    </w:p>
    <w:p>
      <w:pPr>
        <w:numPr>
          <w:ilvl w:val="0"/>
          <w:numId w:val="33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Configuration standards shall be applied to all system types including servers (physical and virtual), network devices, database systems, and cloud instances.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Configuration Monitoring</w:t>
      </w:r>
    </w:p>
    <w:p>
      <w:pPr>
        <w:numPr>
          <w:ilvl w:val="0"/>
          <w:numId w:val="33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Tripwire Enterprise shall be deployed as the primary File Integrity Monitoring (FIM) solution for all CDE systems to detect unauthorized changes to system files, configuration files, and critical system components.</w:t>
      </w:r>
    </w:p>
    <w:p>
      <w:pPr>
        <w:numPr>
          <w:ilvl w:val="0"/>
          <w:numId w:val="33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Unauthorized configuration changes shall generate alerts in IBM QRadar SIEM and shall be investigated within 24 hours of detection.</w:t>
      </w:r>
    </w:p>
    <w:p>
      <w:pPr>
        <w:numPr>
          <w:ilvl w:val="0"/>
          <w:numId w:val="33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Configuration compliance scans shall be performed quarterly using Qualys VMDR and Tenable.io to verify adherence to baseline hardening standards.</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Encryption and Key Management</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Cryptographic Standards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implement and maintain strong cryptographic controls to protect cardholder data at rest and in transit. The following cryptographic standards are mandatory for all CDE systems:</w:t>
      </w:r>
    </w:p>
    <w:p>
      <w:pPr>
        <w:numPr>
          <w:ilvl w:val="0"/>
          <w:numId w:val="34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AES-256 (Advanced Encryption Standard with 256-bit keys) shall be the required standard for symmetric encryption of stored CHD.</w:t>
      </w:r>
    </w:p>
    <w:p>
      <w:pPr>
        <w:numPr>
          <w:ilvl w:val="0"/>
          <w:numId w:val="34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RSA-2048 or greater, or ECDSA with P-256 or greater, shall be used for asymmetric encryption and digital signature operations.</w:t>
      </w:r>
    </w:p>
    <w:p>
      <w:pPr>
        <w:numPr>
          <w:ilvl w:val="0"/>
          <w:numId w:val="34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SHA-256 or greater shall be the minimum accepted hashing algorithm. MD5 and SHA-1 are strictly prohibited for any security-relevant functions.</w:t>
      </w:r>
    </w:p>
    <w:p>
      <w:pPr>
        <w:numPr>
          <w:ilvl w:val="0"/>
          <w:numId w:val="34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TLS 1.3 shall be the required standard for all new implementations. TLS 1.2 is the minimum acceptable version for legacy systems, subject to an approved exception and migration plan.</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Key Management Requirements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Cryptographic key management shall be implemented in accordance with the following mandatory requirements:</w:t>
      </w:r>
    </w:p>
    <w:p>
      <w:pPr>
        <w:numPr>
          <w:ilvl w:val="0"/>
          <w:numId w:val="34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Thales HSM (Hardware Security Module) shall be the primary platform for the generation, storage, and management of cryptographic keys used to protect CHD. Keys shall never be stored in software-only form outside of the HSM.</w:t>
      </w:r>
    </w:p>
    <w:p>
      <w:pPr>
        <w:numPr>
          <w:ilvl w:val="0"/>
          <w:numId w:val="34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HashiCorp Vault shall be used for secrets management, including the storage and distribution of application credentials, API keys, and non-CHD encryption keys.</w:t>
      </w:r>
    </w:p>
    <w:p>
      <w:pPr>
        <w:numPr>
          <w:ilvl w:val="0"/>
          <w:numId w:val="34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 formal key management lifecycle procedure shall be documented and implemented, covering key generation, distribution, storage, retirement, and destruction.</w:t>
      </w:r>
    </w:p>
    <w:p>
      <w:pPr>
        <w:numPr>
          <w:ilvl w:val="0"/>
          <w:numId w:val="34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Key-encrypting keys shall be at least as strong as the data-encrypting keys they protect. Key-encrypting keys shall be stored separately from data-encrypting keys.</w:t>
      </w:r>
    </w:p>
    <w:p>
      <w:pPr>
        <w:numPr>
          <w:ilvl w:val="0"/>
          <w:numId w:val="34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Cryptographic key custodians shall formally acknowledge their understanding of and responsibility for key custodian duties.</w:t>
      </w:r>
    </w:p>
    <w:p>
      <w:pPr>
        <w:numPr>
          <w:ilvl w:val="0"/>
          <w:numId w:val="34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Key rotation shall occur at least annually, or immediately upon suspicion of key compromise, following documented key rotation procedures.</w:t>
      </w:r>
    </w:p>
    <w:p>
      <w:pPr>
        <w:numPr>
          <w:ilvl w:val="0"/>
          <w:numId w:val="34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Retired or replaced cryptographic keys shall be rendered irretrievable, and documented evidence of secure key destruction shall be maintained.</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Multi-Factor Authentication Requirements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8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Identify Users and Authenticate Access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Effective authentication is fundamental to the protection of cardholder data and the integrity of the CDE. RedKross Intelligence shall implement and enforce multi-factor authentication (MFA) for all access to the CDE, in accordance with PCI DSS v4.0 requirements.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MFA Mandatory Controls</w:t>
      </w:r>
    </w:p>
    <w:p>
      <w:pPr>
        <w:numPr>
          <w:ilvl w:val="0"/>
          <w:numId w:val="349"/>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MFA shall be required for ALL forms of access into the CDE, including but not limited to: administrative access, remote access, privileged access, and all non-console administrative access to system components.</w:t>
      </w:r>
    </w:p>
    <w:p>
      <w:pPr>
        <w:numPr>
          <w:ilvl w:val="0"/>
          <w:numId w:val="349"/>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MFA shall require a minimum of two independent authentication factors from the following categories: (i) something you know (password/passphrase), (ii) something you have (hardware token, OTP device, smart card), (iii) something you are (biometric).</w:t>
      </w:r>
    </w:p>
    <w:p>
      <w:pPr>
        <w:numPr>
          <w:ilvl w:val="0"/>
          <w:numId w:val="349"/>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MFA solutions shall be resistant to replay attacks. Time-based one-time passwords (TOTP) or hardware tokens are the approved MFA mechanisms. SMS-based OTP shall only be used where TOTP or hardware tokens are not feasible, subject to documented risk acceptance by the CISO.</w:t>
      </w:r>
    </w:p>
    <w:p>
      <w:pPr>
        <w:numPr>
          <w:ilvl w:val="0"/>
          <w:numId w:val="349"/>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MFA configuration shall be managed centrally and shall not be modifiable by individual users without approval.</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Password and Authentication Requirements</w:t>
      </w:r>
    </w:p>
    <w:p>
      <w:pPr>
        <w:numPr>
          <w:ilvl w:val="0"/>
          <w:numId w:val="35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user passwords/passphrases used for CDE access shall be a minimum of 12 characters, containing a combination of uppercase letters, lowercase letters, numbers, and special characters.</w:t>
      </w:r>
    </w:p>
    <w:p>
      <w:pPr>
        <w:numPr>
          <w:ilvl w:val="0"/>
          <w:numId w:val="35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Passwords shall not be the same as any of the previous four passwords used for the same account.</w:t>
      </w:r>
    </w:p>
    <w:p>
      <w:pPr>
        <w:numPr>
          <w:ilvl w:val="0"/>
          <w:numId w:val="35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Password change shall be required every 90 days for standard user accounts and every 60 days for privileged accounts.</w:t>
      </w:r>
    </w:p>
    <w:p>
      <w:pPr>
        <w:numPr>
          <w:ilvl w:val="0"/>
          <w:numId w:val="35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Accounts shall be locked out after a maximum of 10 consecutive failed authentication attempts. Lockout duration shall be a minimum of 30 minutes or until an administrator unlocks the account.</w:t>
      </w:r>
    </w:p>
    <w:p>
      <w:pPr>
        <w:numPr>
          <w:ilvl w:val="0"/>
          <w:numId w:val="35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Idle session timeouts shall be set to a maximum of 15 minutes for all sessions accessing CDE systems. After timeout, the user shall be required to re-authenticate.</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Access Control Policy</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7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Restrict Access by Business Need to Know</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Access to cardholder data and CDE system components shall be restricted to only those individuals whose job function requires such access. The principle of least privilege shall be applied to all access grants within the CDE.</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Access Control Requirements</w:t>
      </w:r>
    </w:p>
    <w:p>
      <w:pPr>
        <w:numPr>
          <w:ilvl w:val="0"/>
          <w:numId w:val="35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access to CDE systems and cardholder data shall be granted on the basis of documented and authorized business necessity. Access shall be denied by default.</w:t>
      </w:r>
    </w:p>
    <w:p>
      <w:pPr>
        <w:numPr>
          <w:ilvl w:val="0"/>
          <w:numId w:val="35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Role-Based Access Control (RBAC) shall be implemented for all CDE systems. Access roles shall be defined, documented, and reviewed at least annually.</w:t>
      </w:r>
    </w:p>
    <w:p>
      <w:pPr>
        <w:numPr>
          <w:ilvl w:val="0"/>
          <w:numId w:val="35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 formal access provisioning and deprovisioning process shall be implemented. Access grants shall require approval from the system owner and the Information Security team.</w:t>
      </w:r>
    </w:p>
    <w:p>
      <w:pPr>
        <w:numPr>
          <w:ilvl w:val="0"/>
          <w:numId w:val="35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User accounts shall be reviewed at least quarterly to verify that access rights remain appropriate. Access rights shall be revoked immediately upon termination or role change.</w:t>
      </w:r>
    </w:p>
    <w:p>
      <w:pPr>
        <w:numPr>
          <w:ilvl w:val="0"/>
          <w:numId w:val="35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Shared accounts and generic usernames are prohibited within the CDE. Each individual must have a unique user identifier (user ID) for all CDE access.</w:t>
      </w:r>
    </w:p>
    <w:p>
      <w:pPr>
        <w:numPr>
          <w:ilvl w:val="0"/>
          <w:numId w:val="35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Service accounts and system accounts shall be inventoried, and their access rights shall be restricted to only those required for their specific function.</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9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Restrict Physical Access to Cardholder Data</w:t>
      </w:r>
    </w:p>
    <w:p>
      <w:pPr>
        <w:numPr>
          <w:ilvl w:val="0"/>
          <w:numId w:val="35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Physical access to the CDE, including data centers and server rooms housing CDE systems, shall be restricted to authorized personnel only.</w:t>
      </w:r>
    </w:p>
    <w:p>
      <w:pPr>
        <w:numPr>
          <w:ilvl w:val="0"/>
          <w:numId w:val="35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Access control mechanisms (badge access, biometrics, or equivalent) shall be implemented at all physical entry points to CDE areas. Access logs shall be maintained for a minimum of three months.</w:t>
      </w:r>
    </w:p>
    <w:p>
      <w:pPr>
        <w:numPr>
          <w:ilvl w:val="0"/>
          <w:numId w:val="35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visitors to CDE physical areas shall be escorted by authorized personnel at all times and shall be required to sign an access register.</w:t>
      </w:r>
    </w:p>
    <w:p>
      <w:pPr>
        <w:numPr>
          <w:ilvl w:val="0"/>
          <w:numId w:val="35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Point-of-sale devices and other hardware capable of capturing payment card data shall be inspected regularly to detect tampering or substitution.</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Privileged Access Management</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PAM Framework and Tooling</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Privileged accounts represent the highest-risk access vectors within the CDE. RedKross Intelligence shall implement a comprehensive Privileged Access Management (PAM) program using CyberArk PAM as the primary privileged access management platform.</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PAM Mandatory Controls</w:t>
      </w:r>
    </w:p>
    <w:p>
      <w:pPr>
        <w:numPr>
          <w:ilvl w:val="0"/>
          <w:numId w:val="36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privileged account credentials (root, administrator, service accounts, and equivalent) within the CDE shall be managed, vaulted, and rotated through CyberArk PAM.</w:t>
      </w:r>
    </w:p>
    <w:p>
      <w:pPr>
        <w:numPr>
          <w:ilvl w:val="0"/>
          <w:numId w:val="36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Privileged session management (PSM) shall be enabled for all interactive privileged sessions to CDE systems. All privileged sessions shall be recorded and logged.</w:t>
      </w:r>
    </w:p>
    <w:p>
      <w:pPr>
        <w:numPr>
          <w:ilvl w:val="0"/>
          <w:numId w:val="36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Just-in-Time (JIT) access principles shall be applied for privileged access. Privileged accounts shall not be permanently assigned to individuals; time-limited access shall be provisioned on request with formal justification.</w:t>
      </w:r>
    </w:p>
    <w:p>
      <w:pPr>
        <w:numPr>
          <w:ilvl w:val="0"/>
          <w:numId w:val="36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Privileged account credentials shall be rotated automatically after each use through CyberArk PAM's automatic password management capability.</w:t>
      </w:r>
    </w:p>
    <w:p>
      <w:pPr>
        <w:numPr>
          <w:ilvl w:val="0"/>
          <w:numId w:val="36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Emergency (break-glass) access procedures shall be documented, with access controlled through a formally defined emergency access process. All break-glass access events shall generate immediate alerts to the CISO and SOC.</w:t>
      </w:r>
    </w:p>
    <w:p>
      <w:pPr>
        <w:numPr>
          <w:ilvl w:val="0"/>
          <w:numId w:val="36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Privileged access reviews shall be conducted monthly, with immediate revocation of access for individuals who no longer require it.</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Vulnerability Management Program</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6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Develop and Maintain Secure Systems and Software</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maintain a comprehensive vulnerability management program to identify, assess, prioritize, and remediate vulnerabilities in CDE systems and software. The program shall leverage Qualys VMDR, Tenable.io, and Rapid7 InsightVM as the primary vulnerability management platforms.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Vulnerability Scanning Requirements</w:t>
      </w:r>
    </w:p>
    <w:p>
      <w:pPr>
        <w:numPr>
          <w:ilvl w:val="0"/>
          <w:numId w:val="36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Internal vulnerability scans shall be performed at least quarterly and after any significant change to the CDE network or systems.</w:t>
      </w:r>
    </w:p>
    <w:p>
      <w:pPr>
        <w:numPr>
          <w:ilvl w:val="0"/>
          <w:numId w:val="36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External vulnerability scans shall be performed at least quarterly by an Approved Scanning Vendor (ASV) certified by the PCI SSC.</w:t>
      </w:r>
    </w:p>
    <w:p>
      <w:pPr>
        <w:numPr>
          <w:ilvl w:val="0"/>
          <w:numId w:val="36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High and critical vulnerabilities (CVSS score 7.0 or above) identified in internal scans shall be remediated within 30 days of identification. Critical vulnerabilities (CVSS 9.0+) shall be remediated within 15 days.</w:t>
      </w:r>
    </w:p>
    <w:p>
      <w:pPr>
        <w:numPr>
          <w:ilvl w:val="0"/>
          <w:numId w:val="36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Penetration testing shall be conducted at least annually by a qualified internal or external resource, in accordance with the penetration testing methodology defined in this policy. Burp Suite Enterprise shall be used for web application penetration testing.</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Patch Management Requirements</w:t>
      </w:r>
    </w:p>
    <w:p>
      <w:pPr>
        <w:numPr>
          <w:ilvl w:val="0"/>
          <w:numId w:val="37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Security patches and updates for operating systems, applications, and firmware within the CDE shall be applied based on risk, as follows: Critical and High severity patches shall be applied within 30 days of release; Medium severity patches shall be applied within 90 days; Low severity patches shall be evaluated and applied within 180 days or as operationally feasible.</w:t>
      </w:r>
    </w:p>
    <w:p>
      <w:pPr>
        <w:numPr>
          <w:ilvl w:val="0"/>
          <w:numId w:val="37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 formal patch management process shall be documented and followed, including patch testing in a non-production environment prior to production deployment.</w:t>
      </w:r>
    </w:p>
    <w:p>
      <w:pPr>
        <w:numPr>
          <w:ilvl w:val="0"/>
          <w:numId w:val="37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patch application activities shall be tracked and documented in the Organization's change management system.</w:t>
      </w:r>
    </w:p>
    <w:p>
      <w:pPr>
        <w:numPr>
          <w:ilvl w:val="0"/>
          <w:numId w:val="37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Systems that cannot be patched within required timeframes due to operational constraints shall be subject to compensating controls and formal risk acceptance by the CISO.</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Malware Protection Requirements</w:t>
      </w:r>
    </w:p>
    <w:p>
      <w:pPr>
        <w:spacing w:before="160" w:after="80" w:line="240"/>
        <w:ind w:right="0" w:left="0" w:firstLine="0"/>
        <w:jc w:val="left"/>
        <w:rPr>
          <w:rFonts w:ascii="Montserrat" w:hAnsi="Montserrat" w:cs="Montserrat" w:eastAsia="Montserrat"/>
          <w:b/>
          <w:color w:val="4A6582"/>
          <w:spacing w:val="0"/>
          <w:position w:val="0"/>
          <w:sz w:val="24"/>
          <w:shd w:fill="auto" w:val="clear"/>
        </w:rPr>
      </w:pPr>
      <w:r>
        <w:rPr>
          <w:rFonts w:ascii="Montserrat" w:hAnsi="Montserrat" w:cs="Montserrat" w:eastAsia="Montserrat"/>
          <w:b/>
          <w:color w:val="4A6582"/>
          <w:spacing w:val="0"/>
          <w:position w:val="0"/>
          <w:sz w:val="24"/>
          <w:shd w:fill="auto" w:val="clear"/>
        </w:rPr>
        <w:t xml:space="preserve">PCI DSS Requirement 5 </w:t>
      </w:r>
      <w:r>
        <w:rPr>
          <w:rFonts w:ascii="Montserrat" w:hAnsi="Montserrat" w:cs="Montserrat" w:eastAsia="Montserrat"/>
          <w:b/>
          <w:color w:val="4A6582"/>
          <w:spacing w:val="0"/>
          <w:position w:val="0"/>
          <w:sz w:val="24"/>
          <w:shd w:fill="auto" w:val="clear"/>
        </w:rPr>
        <w:t xml:space="preserve">—</w:t>
      </w:r>
      <w:r>
        <w:rPr>
          <w:rFonts w:ascii="Montserrat" w:hAnsi="Montserrat" w:cs="Montserrat" w:eastAsia="Montserrat"/>
          <w:b/>
          <w:color w:val="4A6582"/>
          <w:spacing w:val="0"/>
          <w:position w:val="0"/>
          <w:sz w:val="24"/>
          <w:shd w:fill="auto" w:val="clear"/>
        </w:rPr>
        <w:t xml:space="preserve"> Protect All Systems from Malicious Software</w:t>
      </w:r>
    </w:p>
    <w:p>
      <w:pPr>
        <w:numPr>
          <w:ilvl w:val="0"/>
          <w:numId w:val="37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CrowdStrike Falcon shall be deployed as the primary endpoint detection and response (EDR) and anti-malware platform on all system components within and connected to the CDE.</w:t>
      </w:r>
    </w:p>
    <w:p>
      <w:pPr>
        <w:numPr>
          <w:ilvl w:val="0"/>
          <w:numId w:val="37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Anti-malware solutions shall be deployed on all applicable system types, including servers, workstations, and virtual systems. Where anti-malware is not technically feasible (e.g., certain industrial control systems), documented compensating controls must be implemented and formally approved.</w:t>
      </w:r>
    </w:p>
    <w:p>
      <w:pPr>
        <w:numPr>
          <w:ilvl w:val="0"/>
          <w:numId w:val="37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Anti-malware signatures and detection mechanisms shall be updated as frequently as feasible, with a maximum interval of 24 hours between updates.</w:t>
      </w:r>
    </w:p>
    <w:p>
      <w:pPr>
        <w:numPr>
          <w:ilvl w:val="0"/>
          <w:numId w:val="37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Periodic scans shall be configured and performed at least weekly on all CDE systems. Real-time scanning shall be enabled on all endpoints.</w:t>
      </w:r>
    </w:p>
    <w:p>
      <w:pPr>
        <w:numPr>
          <w:ilvl w:val="0"/>
          <w:numId w:val="37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Any malware detection event shall generate an alert in IBM QRadar SIEM and shall be investigated by the Security Operations Center (SOC) within four hours.</w:t>
      </w:r>
    </w:p>
    <w:p>
      <w:pPr>
        <w:numPr>
          <w:ilvl w:val="0"/>
          <w:numId w:val="373"/>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Personnel shall be prohibited from disabling or bypassing anti-malware controls. Any exception shall require documented approval from the CISO and shall be subject to compensating controls.</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Logging and Monitoring Requirements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10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Log and Monitor All Access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Comprehensive logging and monitoring is essential for detecting unauthorized access to cardholder data, investigating security incidents, and supporting forensic analysis. RedKross Intelligence shall implement and maintain a centralized logging and monitoring capability using IBM QRadar SIEM as the primary platform.</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Audit Log Requirements</w:t>
      </w:r>
    </w:p>
    <w:p>
      <w:pPr>
        <w:numPr>
          <w:ilvl w:val="0"/>
          <w:numId w:val="37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Audit logs shall be generated for all access to CDE systems and cardholder data, including: all individual user access to CHD; all actions taken by root/administrator accounts; all access to and changes made to audit log files; invalid logical access attempts; use of and changes to identification and authentication mechanisms; initialization, stopping, and pausing of audit logs; creation and deletion of system-level objects.</w:t>
      </w:r>
    </w:p>
    <w:p>
      <w:pPr>
        <w:numPr>
          <w:ilvl w:val="0"/>
          <w:numId w:val="37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Audit logs shall include the following information for each event: user identification; type of event; date and time; success or failure indication; origination of event; identity or name of affected data, system component, resource, or service.</w:t>
      </w:r>
    </w:p>
    <w:p>
      <w:pPr>
        <w:numPr>
          <w:ilvl w:val="0"/>
          <w:numId w:val="37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Audit logs shall be protected from modification and deletion. Log integrity shall be enforced through the use of write-once storage media, centralized log management (IBM QRadar SIEM), and cryptographic hashing.</w:t>
      </w:r>
    </w:p>
    <w:p>
      <w:pPr>
        <w:numPr>
          <w:ilvl w:val="0"/>
          <w:numId w:val="37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Audit logs shall be retained for a minimum of 12 months, with a minimum of three months immediately available for analysis.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Monitoring and Alerting Requirements</w:t>
      </w:r>
    </w:p>
    <w:p>
      <w:pPr>
        <w:numPr>
          <w:ilvl w:val="0"/>
          <w:numId w:val="38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IBM QRadar SIEM shall be configured with correlation rules to detect anomalous activity, policy violations, and potential security incidents within the CDE in real time.</w:t>
      </w:r>
    </w:p>
    <w:p>
      <w:pPr>
        <w:numPr>
          <w:ilvl w:val="0"/>
          <w:numId w:val="38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Automated alerts shall be generated for, at minimum: failed authentication attempts exceeding the defined threshold; access outside of defined business hours; access to or export of large volumes of CHD; modifications to critical system files (as detected by Tripwire Enterprise); malware detection events (from CrowdStrike Falcon); firewall policy violations.</w:t>
      </w:r>
    </w:p>
    <w:p>
      <w:pPr>
        <w:numPr>
          <w:ilvl w:val="0"/>
          <w:numId w:val="38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Wireshark shall be available for authorized network protocol analysis and forensic investigation. Its use shall be restricted to authorized network security personnel and shall be logged.</w:t>
      </w:r>
    </w:p>
    <w:p>
      <w:pPr>
        <w:numPr>
          <w:ilvl w:val="0"/>
          <w:numId w:val="380"/>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Critical security alerts shall be acknowledged by SOC personnel within 15 minutes. High-severity alerts shall be acknowledged within 30 minutes.</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Security Operations Center Responsibilities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SOC Mission and Scope</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The RedKross Intelligence Security Operations Center (SOC) is responsible for the continuous monitoring, detection, analysis, and response to security threats affecting the CDE and broader organizational infrastructure. The SOC shall operate on a 24x7x365 basis, utilizing IBM QRadar SIEM as the primary platform for threat detection and event correlation.</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SOC Core Responsibilities</w:t>
      </w:r>
    </w:p>
    <w:p>
      <w:pPr>
        <w:numPr>
          <w:ilvl w:val="0"/>
          <w:numId w:val="38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Continuous monitoring of security events and alerts generated by IBM QRadar SIEM, CrowdStrike Falcon, Palo Alto NGFW, Cisco Firepower, Imperva WAF, and Tripwire Enterprise.</w:t>
      </w:r>
    </w:p>
    <w:p>
      <w:pPr>
        <w:numPr>
          <w:ilvl w:val="0"/>
          <w:numId w:val="38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First-level triage and investigation of security alerts, escalating confirmed or suspected security incidents in accordance with the Incident Response Procedures defined in this policy.</w:t>
      </w:r>
    </w:p>
    <w:p>
      <w:pPr>
        <w:numPr>
          <w:ilvl w:val="0"/>
          <w:numId w:val="38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Management and tuning of SIEM correlation rules, ensuring that detection capabilities remain effective against evolving threats.</w:t>
      </w:r>
    </w:p>
    <w:p>
      <w:pPr>
        <w:numPr>
          <w:ilvl w:val="0"/>
          <w:numId w:val="38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Coordination with network security, vulnerability management, and IT operations teams during security incidents.</w:t>
      </w:r>
    </w:p>
    <w:p>
      <w:pPr>
        <w:numPr>
          <w:ilvl w:val="0"/>
          <w:numId w:val="38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Production of daily, weekly, and monthly security monitoring reports for review by the CISO and relevant stakeholders.</w:t>
      </w:r>
    </w:p>
    <w:p>
      <w:pPr>
        <w:numPr>
          <w:ilvl w:val="0"/>
          <w:numId w:val="385"/>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Threat intelligence integration and dissemination to relevant technical teams.</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Incident Response Procedures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12.10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Incident Response Plan</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maintain and annually test a comprehensive Incident Response Plan (IRP) that covers all types of security incidents affecting the CDE and cardholder data. The IRP shall be reviewed and updated at least annually and following any significant incident or change in the environment.</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Incident Severity Matrix</w:t>
      </w:r>
    </w:p>
    <w:tbl>
      <w:tblPr/>
      <w:tblGrid>
        <w:gridCol w:w="1400"/>
        <w:gridCol w:w="2000"/>
        <w:gridCol w:w="2560"/>
        <w:gridCol w:w="1800"/>
        <w:gridCol w:w="1600"/>
      </w:tblGrid>
      <w:tr>
        <w:trPr>
          <w:trHeight w:val="1" w:hRule="atLeast"/>
          <w:jc w:val="left"/>
        </w:trPr>
        <w:tc>
          <w:tcPr>
            <w:tcW w:w="14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Severity</w:t>
            </w:r>
          </w:p>
        </w:tc>
        <w:tc>
          <w:tcPr>
            <w:tcW w:w="20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Description</w:t>
            </w:r>
          </w:p>
        </w:tc>
        <w:tc>
          <w:tcPr>
            <w:tcW w:w="25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Examples</w:t>
            </w:r>
          </w:p>
        </w:tc>
        <w:tc>
          <w:tcPr>
            <w:tcW w:w="18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Response Time</w:t>
            </w:r>
          </w:p>
        </w:tc>
        <w:tc>
          <w:tcPr>
            <w:tcW w:w="16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Escalation</w:t>
            </w:r>
          </w:p>
        </w:tc>
      </w:tr>
      <w:tr>
        <w:trPr>
          <w:trHeight w:val="1" w:hRule="atLeast"/>
          <w:jc w:val="left"/>
        </w:trPr>
        <w:tc>
          <w:tcPr>
            <w:tcW w:w="1400" w:type="dxa"/>
            <w:tcBorders>
              <w:top w:val="single" w:color="bbcce0" w:sz="1"/>
              <w:left w:val="single" w:color="bbcce0" w:sz="1"/>
              <w:bottom w:val="single" w:color="bbcce0" w:sz="1"/>
              <w:right w:val="single" w:color="bbcce0" w:sz="1"/>
            </w:tcBorders>
            <w:shd w:color="000000" w:fill="ffd0d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CRITICAL (P1)</w:t>
            </w:r>
          </w:p>
        </w:tc>
        <w:tc>
          <w:tcPr>
            <w:tcW w:w="2000" w:type="dxa"/>
            <w:tcBorders>
              <w:top w:val="single" w:color="bbcce0" w:sz="1"/>
              <w:left w:val="single" w:color="bbcce0" w:sz="1"/>
              <w:bottom w:val="single" w:color="bbcce0" w:sz="1"/>
              <w:right w:val="single" w:color="bbcce0" w:sz="1"/>
            </w:tcBorders>
            <w:shd w:color="000000" w:fill="ffd0d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Active breach of CHD or CDE systems confirmed or highly probable</w:t>
            </w:r>
          </w:p>
        </w:tc>
        <w:tc>
          <w:tcPr>
            <w:tcW w:w="2560" w:type="dxa"/>
            <w:tcBorders>
              <w:top w:val="single" w:color="bbcce0" w:sz="1"/>
              <w:left w:val="single" w:color="bbcce0" w:sz="1"/>
              <w:bottom w:val="single" w:color="bbcce0" w:sz="1"/>
              <w:right w:val="single" w:color="bbcce0" w:sz="1"/>
            </w:tcBorders>
            <w:shd w:color="000000" w:fill="ffd0d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PAN data exfiltration, ransomware in CDE, active compromise of payment systems</w:t>
            </w:r>
          </w:p>
        </w:tc>
        <w:tc>
          <w:tcPr>
            <w:tcW w:w="1800" w:type="dxa"/>
            <w:tcBorders>
              <w:top w:val="single" w:color="bbcce0" w:sz="1"/>
              <w:left w:val="single" w:color="bbcce0" w:sz="1"/>
              <w:bottom w:val="single" w:color="bbcce0" w:sz="1"/>
              <w:right w:val="single" w:color="bbcce0" w:sz="1"/>
            </w:tcBorders>
            <w:shd w:color="000000" w:fill="ffd0d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Immediate (15 min)</w:t>
            </w:r>
          </w:p>
        </w:tc>
        <w:tc>
          <w:tcPr>
            <w:tcW w:w="1600" w:type="dxa"/>
            <w:tcBorders>
              <w:top w:val="single" w:color="bbcce0" w:sz="1"/>
              <w:left w:val="single" w:color="bbcce0" w:sz="1"/>
              <w:bottom w:val="single" w:color="bbcce0" w:sz="1"/>
              <w:right w:val="single" w:color="bbcce0" w:sz="1"/>
            </w:tcBorders>
            <w:shd w:color="000000" w:fill="ffd0d0"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CISO, CEO, Legal, Card Brands, Payment Processor</w:t>
            </w:r>
          </w:p>
        </w:tc>
      </w:tr>
      <w:tr>
        <w:trPr>
          <w:trHeight w:val="1" w:hRule="atLeast"/>
          <w:jc w:val="left"/>
        </w:trPr>
        <w:tc>
          <w:tcPr>
            <w:tcW w:w="1400" w:type="dxa"/>
            <w:tcBorders>
              <w:top w:val="single" w:color="bbcce0" w:sz="1"/>
              <w:left w:val="single" w:color="bbcce0" w:sz="1"/>
              <w:bottom w:val="single" w:color="bbcce0" w:sz="1"/>
              <w:right w:val="single" w:color="bbcce0" w:sz="1"/>
            </w:tcBorders>
            <w:shd w:color="000000" w:fill="ffe8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HIGH (P2)</w:t>
            </w:r>
          </w:p>
        </w:tc>
        <w:tc>
          <w:tcPr>
            <w:tcW w:w="2000" w:type="dxa"/>
            <w:tcBorders>
              <w:top w:val="single" w:color="bbcce0" w:sz="1"/>
              <w:left w:val="single" w:color="bbcce0" w:sz="1"/>
              <w:bottom w:val="single" w:color="bbcce0" w:sz="1"/>
              <w:right w:val="single" w:color="bbcce0" w:sz="1"/>
            </w:tcBorders>
            <w:shd w:color="000000" w:fill="ffe8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Potential CDE compromise or significant policy violation</w:t>
            </w:r>
          </w:p>
        </w:tc>
        <w:tc>
          <w:tcPr>
            <w:tcW w:w="2560" w:type="dxa"/>
            <w:tcBorders>
              <w:top w:val="single" w:color="bbcce0" w:sz="1"/>
              <w:left w:val="single" w:color="bbcce0" w:sz="1"/>
              <w:bottom w:val="single" w:color="bbcce0" w:sz="1"/>
              <w:right w:val="single" w:color="bbcce0" w:sz="1"/>
            </w:tcBorders>
            <w:shd w:color="000000" w:fill="ffe8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Malware on CDE system, unauthorized privileged access, FIM alert on critical file</w:t>
            </w:r>
          </w:p>
        </w:tc>
        <w:tc>
          <w:tcPr>
            <w:tcW w:w="1800" w:type="dxa"/>
            <w:tcBorders>
              <w:top w:val="single" w:color="bbcce0" w:sz="1"/>
              <w:left w:val="single" w:color="bbcce0" w:sz="1"/>
              <w:bottom w:val="single" w:color="bbcce0" w:sz="1"/>
              <w:right w:val="single" w:color="bbcce0" w:sz="1"/>
            </w:tcBorders>
            <w:shd w:color="000000" w:fill="ffe8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1 hour</w:t>
            </w:r>
          </w:p>
        </w:tc>
        <w:tc>
          <w:tcPr>
            <w:tcW w:w="1600" w:type="dxa"/>
            <w:tcBorders>
              <w:top w:val="single" w:color="bbcce0" w:sz="1"/>
              <w:left w:val="single" w:color="bbcce0" w:sz="1"/>
              <w:bottom w:val="single" w:color="bbcce0" w:sz="1"/>
              <w:right w:val="single" w:color="bbcce0" w:sz="1"/>
            </w:tcBorders>
            <w:shd w:color="000000" w:fill="ffe8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CISO, Security Manager, IT Leadership</w:t>
            </w:r>
          </w:p>
        </w:tc>
      </w:tr>
      <w:tr>
        <w:trPr>
          <w:trHeight w:val="1" w:hRule="atLeast"/>
          <w:jc w:val="left"/>
        </w:trPr>
        <w:tc>
          <w:tcPr>
            <w:tcW w:w="1400" w:type="dxa"/>
            <w:tcBorders>
              <w:top w:val="single" w:color="bbcce0" w:sz="1"/>
              <w:left w:val="single" w:color="bbcce0" w:sz="1"/>
              <w:bottom w:val="single" w:color="bbcce0" w:sz="1"/>
              <w:right w:val="single" w:color="bbcce0" w:sz="1"/>
            </w:tcBorders>
            <w:shd w:color="000000" w:fill="fffa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8A6900"/>
                <w:spacing w:val="0"/>
                <w:position w:val="0"/>
                <w:sz w:val="18"/>
                <w:shd w:fill="auto" w:val="clear"/>
              </w:rPr>
              <w:t xml:space="preserve">MEDIUM (P3)</w:t>
            </w:r>
          </w:p>
        </w:tc>
        <w:tc>
          <w:tcPr>
            <w:tcW w:w="2000" w:type="dxa"/>
            <w:tcBorders>
              <w:top w:val="single" w:color="bbcce0" w:sz="1"/>
              <w:left w:val="single" w:color="bbcce0" w:sz="1"/>
              <w:bottom w:val="single" w:color="bbcce0" w:sz="1"/>
              <w:right w:val="single" w:color="bbcce0" w:sz="1"/>
            </w:tcBorders>
            <w:shd w:color="000000" w:fill="fffa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Suspicious activity requiring investigation</w:t>
            </w:r>
          </w:p>
        </w:tc>
        <w:tc>
          <w:tcPr>
            <w:tcW w:w="2560" w:type="dxa"/>
            <w:tcBorders>
              <w:top w:val="single" w:color="bbcce0" w:sz="1"/>
              <w:left w:val="single" w:color="bbcce0" w:sz="1"/>
              <w:bottom w:val="single" w:color="bbcce0" w:sz="1"/>
              <w:right w:val="single" w:color="bbcce0" w:sz="1"/>
            </w:tcBorders>
            <w:shd w:color="000000" w:fill="fffa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Repeated failed auth attempts, unusual data access patterns, vulnerability scan findings</w:t>
            </w:r>
          </w:p>
        </w:tc>
        <w:tc>
          <w:tcPr>
            <w:tcW w:w="1800" w:type="dxa"/>
            <w:tcBorders>
              <w:top w:val="single" w:color="bbcce0" w:sz="1"/>
              <w:left w:val="single" w:color="bbcce0" w:sz="1"/>
              <w:bottom w:val="single" w:color="bbcce0" w:sz="1"/>
              <w:right w:val="single" w:color="bbcce0" w:sz="1"/>
            </w:tcBorders>
            <w:shd w:color="000000" w:fill="fffa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4 hours</w:t>
            </w:r>
          </w:p>
        </w:tc>
        <w:tc>
          <w:tcPr>
            <w:tcW w:w="1600" w:type="dxa"/>
            <w:tcBorders>
              <w:top w:val="single" w:color="bbcce0" w:sz="1"/>
              <w:left w:val="single" w:color="bbcce0" w:sz="1"/>
              <w:bottom w:val="single" w:color="bbcce0" w:sz="1"/>
              <w:right w:val="single" w:color="bbcce0" w:sz="1"/>
            </w:tcBorders>
            <w:shd w:color="000000" w:fill="fffac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Security Manager, SOC Lead</w:t>
            </w:r>
          </w:p>
        </w:tc>
      </w:tr>
      <w:tr>
        <w:trPr>
          <w:trHeight w:val="1" w:hRule="atLeast"/>
          <w:jc w:val="left"/>
        </w:trPr>
        <w:tc>
          <w:tcPr>
            <w:tcW w:w="140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LOW (P4)</w:t>
            </w:r>
          </w:p>
        </w:tc>
        <w:tc>
          <w:tcPr>
            <w:tcW w:w="200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Minor policy violations or anomalies requiring review</w:t>
            </w:r>
          </w:p>
        </w:tc>
        <w:tc>
          <w:tcPr>
            <w:tcW w:w="256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Single failed login, outdated certificate warning, minor misconfiguration</w:t>
            </w:r>
          </w:p>
        </w:tc>
        <w:tc>
          <w:tcPr>
            <w:tcW w:w="180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24 hours</w:t>
            </w:r>
          </w:p>
        </w:tc>
        <w:tc>
          <w:tcPr>
            <w:tcW w:w="160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SOC Analyst, IT Operations</w:t>
            </w:r>
          </w:p>
        </w:tc>
      </w:tr>
    </w:tbl>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Incident Response Phases</w:t>
      </w:r>
    </w:p>
    <w:p>
      <w:pPr>
        <w:numPr>
          <w:ilvl w:val="0"/>
          <w:numId w:val="40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PREPARATION: Maintain updated IRP documentation, personnel contact lists, forensic toolkits, and communication templates. Conduct annual tabletop exercises and simulated incident drills.</w:t>
      </w:r>
    </w:p>
    <w:p>
      <w:pPr>
        <w:numPr>
          <w:ilvl w:val="0"/>
          <w:numId w:val="40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IDENTIFICATION: Detect and confirm the occurrence of a security incident through SIEM alerts, SOC monitoring, user reports, or external notification. Document initial indicators of compromise (IOCs).</w:t>
      </w:r>
    </w:p>
    <w:p>
      <w:pPr>
        <w:numPr>
          <w:ilvl w:val="0"/>
          <w:numId w:val="40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CONTAINMENT: Implement immediate containment measures to limit the scope and impact of the incident. Short-term containment may include system isolation, account lockout, or firewall rule changes.</w:t>
      </w:r>
    </w:p>
    <w:p>
      <w:pPr>
        <w:numPr>
          <w:ilvl w:val="0"/>
          <w:numId w:val="40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ERADICATION: Remove malware, unauthorized access, or other threat vectors from the environment. Identify and remediate the root cause of the incident.</w:t>
      </w:r>
    </w:p>
    <w:p>
      <w:pPr>
        <w:numPr>
          <w:ilvl w:val="0"/>
          <w:numId w:val="40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RECOVERY: Restore affected systems to normal operation from known-good backups or configurations. Verify system integrity prior to returning systems to production.</w:t>
      </w:r>
    </w:p>
    <w:p>
      <w:pPr>
        <w:numPr>
          <w:ilvl w:val="0"/>
          <w:numId w:val="407"/>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POST-INCIDENT REVIEW: Conduct a formal post-incident review within 5 business days of resolution. Document lessons learned and implement corrective actions to prevent recurrence.</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Card Brand Notification Requirements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In the event of a suspected or confirmed compromise of cardholder data, RedKross Intelligence shall notify the relevant payment card brands (Visa, Mastercard, American Express, Discover, JCB) and acquiring bank(s) within the timeframes specified by the applicable card brand incident reporting requirements. Legal counsel shall be engaged immediately upon identification of a potential reportable breach. A Qualified Forensic Investigator (QFI) shall be engaged as required by card brand policies.</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Vendor Risk Management</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Third-Party Service Provider (TPSP) Management</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maintain a comprehensive third-party risk management program to ensure that all vendors, suppliers, and service providers with access to or involvement in the CDE are subject to appropriate security requirements, in accordance with PCI DSS v4.0 Requirement 12.8.</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TPSP Requirements</w:t>
      </w:r>
    </w:p>
    <w:p>
      <w:pPr>
        <w:numPr>
          <w:ilvl w:val="0"/>
          <w:numId w:val="4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 complete and current inventory of all TPSPs that store, process, or transmit CHD on behalf of RedKross Intelligence, or that manage or support CDE components, shall be maintained.</w:t>
      </w:r>
    </w:p>
    <w:p>
      <w:pPr>
        <w:numPr>
          <w:ilvl w:val="0"/>
          <w:numId w:val="4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Written agreements shall be in place with all TPSPs that acknowledge their responsibility for the security of cardholder data within their purview and their commitment to PCI DSS compliance.</w:t>
      </w:r>
    </w:p>
    <w:p>
      <w:pPr>
        <w:numPr>
          <w:ilvl w:val="0"/>
          <w:numId w:val="4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Annual confirmation of PCI DSS compliance status shall be obtained from all TPSPs. Acceptable evidence includes a current AOC (Attestation of Compliance) or a completed customized version of the TPSP questionnaire.</w:t>
      </w:r>
    </w:p>
    <w:p>
      <w:pPr>
        <w:numPr>
          <w:ilvl w:val="0"/>
          <w:numId w:val="4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Due diligence assessments shall be performed prior to engaging any new TPSP with access to the CDE, including a review of their security program, compliance status, and incident history.</w:t>
      </w:r>
    </w:p>
    <w:p>
      <w:pPr>
        <w:numPr>
          <w:ilvl w:val="0"/>
          <w:numId w:val="4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TPSPs shall be notified of any incidents or vulnerabilities that may affect their environments or the security of CHD they process on behalf of the Organization.</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Compliance Monitoring</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Ongoing Compliance Assurance</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PCI DSS compliance shall be treated as a continuous process rather than a periodic event. RedKross Intelligence shall implement ongoing compliance monitoring controls to verify that security controls are operating effectively at all times.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Compliance Matrix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PCI DSS v4.0 Requirements</w:t>
      </w:r>
    </w:p>
    <w:tbl>
      <w:tblPr/>
      <w:tblGrid>
        <w:gridCol w:w="900"/>
        <w:gridCol w:w="3200"/>
        <w:gridCol w:w="2360"/>
        <w:gridCol w:w="1500"/>
        <w:gridCol w:w="1400"/>
      </w:tblGrid>
      <w:tr>
        <w:trPr>
          <w:trHeight w:val="1" w:hRule="atLeast"/>
          <w:jc w:val="left"/>
        </w:trPr>
        <w:tc>
          <w:tcPr>
            <w:tcW w:w="9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Req.</w:t>
            </w:r>
          </w:p>
        </w:tc>
        <w:tc>
          <w:tcPr>
            <w:tcW w:w="3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Requirement Title</w:t>
            </w:r>
          </w:p>
        </w:tc>
        <w:tc>
          <w:tcPr>
            <w:tcW w:w="23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Primary Control Owner</w:t>
            </w:r>
          </w:p>
        </w:tc>
        <w:tc>
          <w:tcPr>
            <w:tcW w:w="15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Assessment Frequency</w:t>
            </w:r>
          </w:p>
        </w:tc>
        <w:tc>
          <w:tcPr>
            <w:tcW w:w="14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Status</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1</w:t>
            </w:r>
          </w:p>
        </w:tc>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Install and maintain network security controls</w:t>
            </w:r>
          </w:p>
        </w:tc>
        <w:tc>
          <w:tcPr>
            <w:tcW w:w="23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Network Security Team / CISO</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Quarterly / Annual</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2</w:t>
            </w:r>
          </w:p>
        </w:tc>
        <w:tc>
          <w:tcPr>
            <w:tcW w:w="3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Apply secure configurations to all system components</w:t>
            </w:r>
          </w:p>
        </w:tc>
        <w:tc>
          <w:tcPr>
            <w:tcW w:w="23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IT Operations / Security Engineering</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Quarterly</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3</w:t>
            </w:r>
          </w:p>
        </w:tc>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Protect stored account data</w:t>
            </w:r>
          </w:p>
        </w:tc>
        <w:tc>
          <w:tcPr>
            <w:tcW w:w="23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Data Security Team / DBA</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Continuous / Annual</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4</w:t>
            </w:r>
          </w:p>
        </w:tc>
        <w:tc>
          <w:tcPr>
            <w:tcW w:w="3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Protect cardholder data with strong cryptography during transmission</w:t>
            </w:r>
          </w:p>
        </w:tc>
        <w:tc>
          <w:tcPr>
            <w:tcW w:w="23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Security Architecture / Development</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Continuous / Annual</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5</w:t>
            </w:r>
          </w:p>
        </w:tc>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Protect all systems and networks from malicious software</w:t>
            </w:r>
          </w:p>
        </w:tc>
        <w:tc>
          <w:tcPr>
            <w:tcW w:w="23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SOC / Endpoint Security Team</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Continuous</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6</w:t>
            </w:r>
          </w:p>
        </w:tc>
        <w:tc>
          <w:tcPr>
            <w:tcW w:w="3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Develop and maintain secure systems and software</w:t>
            </w:r>
          </w:p>
        </w:tc>
        <w:tc>
          <w:tcPr>
            <w:tcW w:w="23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Application Security / DevSecOps</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Continuous / Quarterly</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7</w:t>
            </w:r>
          </w:p>
        </w:tc>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Restrict access to system components and cardholder data by business need to know</w:t>
            </w:r>
          </w:p>
        </w:tc>
        <w:tc>
          <w:tcPr>
            <w:tcW w:w="23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Identity &amp; Access Management / CISO</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Quarterly</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8</w:t>
            </w:r>
          </w:p>
        </w:tc>
        <w:tc>
          <w:tcPr>
            <w:tcW w:w="3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Identify users and authenticate access to system components</w:t>
            </w:r>
          </w:p>
        </w:tc>
        <w:tc>
          <w:tcPr>
            <w:tcW w:w="23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Identity &amp; Access Management</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Continuous / Annual</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9</w:t>
            </w:r>
          </w:p>
        </w:tc>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Restrict physical access to cardholder data</w:t>
            </w:r>
          </w:p>
        </w:tc>
        <w:tc>
          <w:tcPr>
            <w:tcW w:w="23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Physical Security / Facilities</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Annual</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10</w:t>
            </w:r>
          </w:p>
        </w:tc>
        <w:tc>
          <w:tcPr>
            <w:tcW w:w="3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Log and monitor all access to system components and cardholder data</w:t>
            </w:r>
          </w:p>
        </w:tc>
        <w:tc>
          <w:tcPr>
            <w:tcW w:w="23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SOC / SIEM Team</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Continuous</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11</w:t>
            </w:r>
          </w:p>
        </w:tc>
        <w:tc>
          <w:tcPr>
            <w:tcW w:w="3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Test security of systems and networks regularly</w:t>
            </w:r>
          </w:p>
        </w:tc>
        <w:tc>
          <w:tcPr>
            <w:tcW w:w="23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Vulnerability Management / Pen Test</w:t>
            </w:r>
          </w:p>
        </w:tc>
        <w:tc>
          <w:tcPr>
            <w:tcW w:w="15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Quarterly / Annual</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r>
        <w:trPr>
          <w:trHeight w:val="1" w:hRule="atLeast"/>
          <w:jc w:val="left"/>
        </w:trPr>
        <w:tc>
          <w:tcPr>
            <w:tcW w:w="9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12</w:t>
            </w:r>
          </w:p>
        </w:tc>
        <w:tc>
          <w:tcPr>
            <w:tcW w:w="3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Support information security with organizational policies and programs</w:t>
            </w:r>
          </w:p>
        </w:tc>
        <w:tc>
          <w:tcPr>
            <w:tcW w:w="23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CISO / Compliance Team</w:t>
            </w:r>
          </w:p>
        </w:tc>
        <w:tc>
          <w:tcPr>
            <w:tcW w:w="15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Annual</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IN SCOPE</w:t>
            </w:r>
          </w:p>
        </w:tc>
      </w:tr>
    </w:tbl>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Internal Audit Requirements</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Audit Program and Schedule</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maintain a formal internal audit program covering all aspects of PCI DSS compliance. Internal audits shall be conducted by personnel with appropriate independence and expertise in payment card security.</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Audit Schedule</w:t>
      </w:r>
    </w:p>
    <w:tbl>
      <w:tblPr/>
      <w:tblGrid>
        <w:gridCol w:w="2400"/>
        <w:gridCol w:w="2560"/>
        <w:gridCol w:w="1600"/>
        <w:gridCol w:w="1400"/>
        <w:gridCol w:w="1400"/>
      </w:tblGrid>
      <w:tr>
        <w:trPr>
          <w:trHeight w:val="1" w:hRule="atLeast"/>
          <w:jc w:val="left"/>
        </w:trPr>
        <w:tc>
          <w:tcPr>
            <w:tcW w:w="24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Audit Activity</w:t>
            </w:r>
          </w:p>
        </w:tc>
        <w:tc>
          <w:tcPr>
            <w:tcW w:w="25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Scope</w:t>
            </w:r>
          </w:p>
        </w:tc>
        <w:tc>
          <w:tcPr>
            <w:tcW w:w="16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Frequency</w:t>
            </w:r>
          </w:p>
        </w:tc>
        <w:tc>
          <w:tcPr>
            <w:tcW w:w="14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Responsible Party</w:t>
            </w:r>
          </w:p>
        </w:tc>
        <w:tc>
          <w:tcPr>
            <w:tcW w:w="14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Evidence Required</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Internal Vulnerability Scan</w:t>
            </w:r>
          </w:p>
        </w:tc>
        <w:tc>
          <w:tcPr>
            <w:tcW w:w="2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All CDE systems (internal network)</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Quarterly</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Vulnerability Mgmt Team</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Scan reports, remediation tracking</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External Vulnerability Scan (ASV)</w:t>
            </w:r>
          </w:p>
        </w:tc>
        <w:tc>
          <w:tcPr>
            <w:tcW w:w="25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External-facing CDE systems</w:t>
            </w:r>
          </w:p>
        </w:tc>
        <w:tc>
          <w:tcPr>
            <w:tcW w:w="16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Quarterly</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ASV (Approved Scanning Vendor)</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ASV scan reports with passing result</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Penetration Test (Network)</w:t>
            </w:r>
          </w:p>
        </w:tc>
        <w:tc>
          <w:tcPr>
            <w:tcW w:w="2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CDE network infrastructure</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Annual</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QSA / Qualified Internal Resource</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Pen test report, remediation evidence</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Penetration Test (Application)</w:t>
            </w:r>
          </w:p>
        </w:tc>
        <w:tc>
          <w:tcPr>
            <w:tcW w:w="25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In-scope web applications, APIs</w:t>
            </w:r>
          </w:p>
        </w:tc>
        <w:tc>
          <w:tcPr>
            <w:tcW w:w="16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Annual</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Application Security Team / QSA</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App pen test report, findings closure</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Firewall Rule Review</w:t>
            </w:r>
          </w:p>
        </w:tc>
        <w:tc>
          <w:tcPr>
            <w:tcW w:w="2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All CDE firewall rule sets</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Semi-annual</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Network Security Team</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Reviewed and approved rule set documentation</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Access Rights Review</w:t>
            </w:r>
          </w:p>
        </w:tc>
        <w:tc>
          <w:tcPr>
            <w:tcW w:w="25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All CDE user and privileged accounts</w:t>
            </w:r>
          </w:p>
        </w:tc>
        <w:tc>
          <w:tcPr>
            <w:tcW w:w="16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Quarterly</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IAM Team / System Owners</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Access review sign-off, revocation records</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Physical Security Audit</w:t>
            </w:r>
          </w:p>
        </w:tc>
        <w:tc>
          <w:tcPr>
            <w:tcW w:w="2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Data centers, server rooms, POS areas</w:t>
            </w:r>
          </w:p>
        </w:tc>
        <w:tc>
          <w:tcPr>
            <w:tcW w:w="16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Annual</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Physical Security / Facilities</w:t>
            </w:r>
          </w:p>
        </w:tc>
        <w:tc>
          <w:tcPr>
            <w:tcW w:w="1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Physical audit report, access log review</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Full PCI DSS Assessment (QSA)</w:t>
            </w:r>
          </w:p>
        </w:tc>
        <w:tc>
          <w:tcPr>
            <w:tcW w:w="25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All in-scope CDE systems and processes</w:t>
            </w:r>
          </w:p>
        </w:tc>
        <w:tc>
          <w:tcPr>
            <w:tcW w:w="16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Annual</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Qualified Security Assessor (QSA)</w:t>
            </w:r>
          </w:p>
        </w:tc>
        <w:tc>
          <w:tcPr>
            <w:tcW w:w="1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Report on Compliance (ROC) / AOC</w:t>
            </w:r>
          </w:p>
        </w:tc>
      </w:tr>
    </w:tbl>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Risk Assessment Framework</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Risk Management Methodology</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conduct formal risk assessments to identify, evaluate, and address information security risks to cardholder data and the CDE. Risk assessments shall be performed at least annually and following any significant changes to the CDE environment, business operations, or the threat landscape. Risk assessments shall inform the prioritization of security control investments and remediation activities.</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Risk Matrix</w:t>
      </w:r>
    </w:p>
    <w:tbl>
      <w:tblPr/>
      <w:tblGrid>
        <w:gridCol w:w="1560"/>
        <w:gridCol w:w="1560"/>
        <w:gridCol w:w="1560"/>
        <w:gridCol w:w="1560"/>
        <w:gridCol w:w="1560"/>
        <w:gridCol w:w="1560"/>
      </w:tblGrid>
      <w:tr>
        <w:trPr>
          <w:trHeight w:val="1" w:hRule="atLeast"/>
          <w:jc w:val="left"/>
        </w:trPr>
        <w:tc>
          <w:tcPr>
            <w:tcW w:w="15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Likelihood \ Impact</w:t>
            </w:r>
          </w:p>
        </w:tc>
        <w:tc>
          <w:tcPr>
            <w:tcW w:w="15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NEGLIGIBLE (1)</w:t>
            </w:r>
          </w:p>
        </w:tc>
        <w:tc>
          <w:tcPr>
            <w:tcW w:w="15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MINOR (2)</w:t>
            </w:r>
          </w:p>
        </w:tc>
        <w:tc>
          <w:tcPr>
            <w:tcW w:w="15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MODERATE (3)</w:t>
            </w:r>
          </w:p>
        </w:tc>
        <w:tc>
          <w:tcPr>
            <w:tcW w:w="15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MAJOR (4)</w:t>
            </w:r>
          </w:p>
        </w:tc>
        <w:tc>
          <w:tcPr>
            <w:tcW w:w="15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CATASTROPHIC (5)</w:t>
            </w:r>
          </w:p>
        </w:tc>
      </w:tr>
      <w:tr>
        <w:trPr>
          <w:trHeight w:val="1" w:hRule="atLeast"/>
          <w:jc w:val="left"/>
        </w:trPr>
        <w:tc>
          <w:tcPr>
            <w:tcW w:w="1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ALMOST CERTAIN (5)</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A6900"/>
                <w:spacing w:val="0"/>
                <w:position w:val="0"/>
                <w:sz w:val="18"/>
                <w:shd w:fill="auto" w:val="clear"/>
              </w:rPr>
              <w:t xml:space="preserve">MEDIUM</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HIGH</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HIGH</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CRITICAL</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CRITICAL</w:t>
            </w:r>
          </w:p>
        </w:tc>
      </w:tr>
      <w:tr>
        <w:trPr>
          <w:trHeight w:val="1" w:hRule="atLeast"/>
          <w:jc w:val="left"/>
        </w:trPr>
        <w:tc>
          <w:tcPr>
            <w:tcW w:w="15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LIKELY (4)</w:t>
            </w:r>
          </w:p>
        </w:tc>
        <w:tc>
          <w:tcPr>
            <w:tcW w:w="156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LOW</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A6900"/>
                <w:spacing w:val="0"/>
                <w:position w:val="0"/>
                <w:sz w:val="18"/>
                <w:shd w:fill="auto" w:val="clear"/>
              </w:rPr>
              <w:t xml:space="preserve">MEDIUM</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HIGH</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HIGH</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CRITICAL</w:t>
            </w:r>
          </w:p>
        </w:tc>
      </w:tr>
      <w:tr>
        <w:trPr>
          <w:trHeight w:val="1" w:hRule="atLeast"/>
          <w:jc w:val="left"/>
        </w:trPr>
        <w:tc>
          <w:tcPr>
            <w:tcW w:w="1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POSSIBLE (3)</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LOW</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A6900"/>
                <w:spacing w:val="0"/>
                <w:position w:val="0"/>
                <w:sz w:val="18"/>
                <w:shd w:fill="auto" w:val="clear"/>
              </w:rPr>
              <w:t xml:space="preserve">MEDIUM</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A6900"/>
                <w:spacing w:val="0"/>
                <w:position w:val="0"/>
                <w:sz w:val="18"/>
                <w:shd w:fill="auto" w:val="clear"/>
              </w:rPr>
              <w:t xml:space="preserve">MEDIUM</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HIGH</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HIGH</w:t>
            </w:r>
          </w:p>
        </w:tc>
      </w:tr>
      <w:tr>
        <w:trPr>
          <w:trHeight w:val="1" w:hRule="atLeast"/>
          <w:jc w:val="left"/>
        </w:trPr>
        <w:tc>
          <w:tcPr>
            <w:tcW w:w="15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UNLIKELY (2)</w:t>
            </w:r>
          </w:p>
        </w:tc>
        <w:tc>
          <w:tcPr>
            <w:tcW w:w="156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LOW</w:t>
            </w:r>
          </w:p>
        </w:tc>
        <w:tc>
          <w:tcPr>
            <w:tcW w:w="1560" w:type="dxa"/>
            <w:tcBorders>
              <w:top w:val="single" w:color="bbcce0" w:sz="1"/>
              <w:left w:val="single" w:color="bbcce0" w:sz="1"/>
              <w:bottom w:val="single" w:color="bbcce0" w:sz="1"/>
              <w:right w:val="single" w:color="bbcce0" w:sz="1"/>
            </w:tcBorders>
            <w:shd w:color="000000" w:fill="e8f4ec"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LOW</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A6900"/>
                <w:spacing w:val="0"/>
                <w:position w:val="0"/>
                <w:sz w:val="18"/>
                <w:shd w:fill="auto" w:val="clear"/>
              </w:rPr>
              <w:t xml:space="preserve">MEDIUM</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A6900"/>
                <w:spacing w:val="0"/>
                <w:position w:val="0"/>
                <w:sz w:val="18"/>
                <w:shd w:fill="auto" w:val="clear"/>
              </w:rPr>
              <w:t xml:space="preserve">MEDIUM</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D4820A"/>
                <w:spacing w:val="0"/>
                <w:position w:val="0"/>
                <w:sz w:val="18"/>
                <w:shd w:fill="auto" w:val="clear"/>
              </w:rPr>
              <w:t xml:space="preserve">HIGH</w:t>
            </w:r>
          </w:p>
        </w:tc>
      </w:tr>
      <w:tr>
        <w:trPr>
          <w:trHeight w:val="1" w:hRule="atLeast"/>
          <w:jc w:val="left"/>
        </w:trPr>
        <w:tc>
          <w:tcPr>
            <w:tcW w:w="15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18"/>
                <w:shd w:fill="auto" w:val="clear"/>
              </w:rPr>
              <w:t xml:space="preserve">RARE (1)</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LOW</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LOW</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1A7A4A"/>
                <w:spacing w:val="0"/>
                <w:position w:val="0"/>
                <w:sz w:val="18"/>
                <w:shd w:fill="auto" w:val="clear"/>
              </w:rPr>
              <w:t xml:space="preserve">LOW</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A6900"/>
                <w:spacing w:val="0"/>
                <w:position w:val="0"/>
                <w:sz w:val="18"/>
                <w:shd w:fill="auto" w:val="clear"/>
              </w:rPr>
              <w:t xml:space="preserve">MEDIUM</w:t>
            </w:r>
          </w:p>
        </w:tc>
        <w:tc>
          <w:tcPr>
            <w:tcW w:w="1560" w:type="dxa"/>
            <w:tcBorders>
              <w:top w:val="single" w:color="bbcce0" w:sz="1"/>
              <w:left w:val="single" w:color="bbcce0" w:sz="1"/>
              <w:bottom w:val="single" w:color="bbcce0" w:sz="1"/>
              <w:right w:val="single" w:color="bbcce0" w:sz="1"/>
            </w:tcBorders>
            <w:shd w:color="000000" w:fill="auto"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A6900"/>
                <w:spacing w:val="0"/>
                <w:position w:val="0"/>
                <w:sz w:val="18"/>
                <w:shd w:fill="auto" w:val="clear"/>
              </w:rPr>
              <w:t xml:space="preserve">MEDIUM</w:t>
            </w:r>
          </w:p>
        </w:tc>
      </w:tr>
    </w:tbl>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RACI Matrix </w:t>
      </w:r>
      <w:r>
        <w:rPr>
          <w:rFonts w:ascii="Montserrat" w:hAnsi="Montserrat" w:cs="Montserrat" w:eastAsia="Montserrat"/>
          <w:b/>
          <w:color w:val="0D1B3E"/>
          <w:spacing w:val="0"/>
          <w:position w:val="0"/>
          <w:sz w:val="36"/>
          <w:shd w:fill="auto" w:val="clear"/>
        </w:rPr>
        <w:t xml:space="preserve">—</w:t>
      </w:r>
      <w:r>
        <w:rPr>
          <w:rFonts w:ascii="Montserrat" w:hAnsi="Montserrat" w:cs="Montserrat" w:eastAsia="Montserrat"/>
          <w:b/>
          <w:color w:val="0D1B3E"/>
          <w:spacing w:val="0"/>
          <w:position w:val="0"/>
          <w:sz w:val="36"/>
          <w:shd w:fill="auto" w:val="clear"/>
        </w:rPr>
        <w:t xml:space="preserve"> PCI DSS v4.0 Governance</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The following RACI matrix defines the Responsible, Accountable, Consulted, and Informed parties for key PCI DSS compliance activities within RedKross Intelligence.</w:t>
      </w:r>
    </w:p>
    <w:p>
      <w:pPr>
        <w:spacing w:before="60" w:after="60" w:line="240"/>
        <w:ind w:right="0" w:left="0" w:firstLine="0"/>
        <w:jc w:val="left"/>
        <w:rPr>
          <w:rFonts w:ascii="Calibri" w:hAnsi="Calibri" w:cs="Calibri" w:eastAsia="Calibri"/>
          <w:color w:val="auto"/>
          <w:spacing w:val="0"/>
          <w:position w:val="0"/>
          <w:sz w:val="20"/>
          <w:shd w:fill="auto" w:val="clear"/>
        </w:rPr>
      </w:pPr>
    </w:p>
    <w:tbl>
      <w:tblPr/>
      <w:tblGrid>
        <w:gridCol w:w="2400"/>
        <w:gridCol w:w="1200"/>
        <w:gridCol w:w="1200"/>
        <w:gridCol w:w="1200"/>
        <w:gridCol w:w="1200"/>
        <w:gridCol w:w="1280"/>
        <w:gridCol w:w="880"/>
      </w:tblGrid>
      <w:tr>
        <w:trPr>
          <w:trHeight w:val="1" w:hRule="atLeast"/>
          <w:jc w:val="left"/>
        </w:trPr>
        <w:tc>
          <w:tcPr>
            <w:tcW w:w="24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Activity / Requirement Area</w:t>
            </w:r>
          </w:p>
        </w:tc>
        <w:tc>
          <w:tcPr>
            <w:tcW w:w="1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CISO</w:t>
            </w:r>
          </w:p>
        </w:tc>
        <w:tc>
          <w:tcPr>
            <w:tcW w:w="1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IT Ops</w:t>
            </w:r>
          </w:p>
        </w:tc>
        <w:tc>
          <w:tcPr>
            <w:tcW w:w="1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SOC</w:t>
            </w:r>
          </w:p>
        </w:tc>
        <w:tc>
          <w:tcPr>
            <w:tcW w:w="1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Compliance</w:t>
            </w:r>
          </w:p>
        </w:tc>
        <w:tc>
          <w:tcPr>
            <w:tcW w:w="128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Development</w:t>
            </w:r>
          </w:p>
        </w:tc>
        <w:tc>
          <w:tcPr>
            <w:tcW w:w="88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Audit</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Network Security Controls (Req 1)</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8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Secure Configuration (Req 2)</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8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Data Protection at Rest (Req 3)</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8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Encryption in Transit (Req 4)</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8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Malware Protection (Req 5)</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8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Secure Development (Req 6)</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8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Access Control (Req 7)</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8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Authentication / MFA (Req 8)</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8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Physical Security (Req 9)</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8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Logging &amp; Monitoring (Req 10)</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8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Security Testing (Req 11)</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8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Policy &amp; Program Mgmt (Req 12)</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8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Incident Response</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8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Vendor Risk Management</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C0392B"/>
                <w:spacing w:val="0"/>
                <w:position w:val="0"/>
                <w:sz w:val="18"/>
                <w:shd w:fill="auto" w:val="clear"/>
              </w:rPr>
              <w:t xml:space="preserve">A</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8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Internal Audit Execution</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1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888888"/>
                <w:spacing w:val="0"/>
                <w:position w:val="0"/>
                <w:sz w:val="18"/>
                <w:shd w:fill="auto" w:val="clear"/>
              </w:rPr>
              <w:t xml:space="preserve">I</w:t>
            </w:r>
          </w:p>
        </w:tc>
        <w:tc>
          <w:tcPr>
            <w:tcW w:w="88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r>
      <w:tr>
        <w:trPr>
          <w:trHeight w:val="1" w:hRule="atLeast"/>
          <w:jc w:val="left"/>
        </w:trPr>
        <w:tc>
          <w:tcPr>
            <w:tcW w:w="24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Annual Risk Assessment</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1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D1B3E"/>
                <w:spacing w:val="0"/>
                <w:position w:val="0"/>
                <w:sz w:val="18"/>
                <w:shd w:fill="auto" w:val="clear"/>
              </w:rPr>
              <w:t xml:space="preserve">R</w:t>
            </w:r>
          </w:p>
        </w:tc>
        <w:tc>
          <w:tcPr>
            <w:tcW w:w="12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c>
          <w:tcPr>
            <w:tcW w:w="88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4A6582"/>
                <w:spacing w:val="0"/>
                <w:position w:val="0"/>
                <w:sz w:val="18"/>
                <w:shd w:fill="auto" w:val="clear"/>
              </w:rPr>
              <w:t xml:space="preserve">C</w:t>
            </w:r>
          </w:p>
        </w:tc>
      </w:tr>
    </w:tbl>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Legend: R = Responsible | A = Accountable | C = Consulted | I = Informed</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Security Awareness Training</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PCI DSS Requirement 12.6 </w:t>
      </w:r>
      <w:r>
        <w:rPr>
          <w:rFonts w:ascii="Montserrat" w:hAnsi="Montserrat" w:cs="Montserrat" w:eastAsia="Montserrat"/>
          <w:b/>
          <w:color w:val="1A2E5A"/>
          <w:spacing w:val="0"/>
          <w:position w:val="0"/>
          <w:sz w:val="28"/>
          <w:shd w:fill="auto" w:val="clear"/>
        </w:rPr>
        <w:t xml:space="preserve">—</w:t>
      </w:r>
      <w:r>
        <w:rPr>
          <w:rFonts w:ascii="Montserrat" w:hAnsi="Montserrat" w:cs="Montserrat" w:eastAsia="Montserrat"/>
          <w:b/>
          <w:color w:val="1A2E5A"/>
          <w:spacing w:val="0"/>
          <w:position w:val="0"/>
          <w:sz w:val="28"/>
          <w:shd w:fill="auto" w:val="clear"/>
        </w:rPr>
        <w:t xml:space="preserve"> Security Awareness Education</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RedKross Intelligence shall maintain a formal security awareness training program applicable to all personnel with access to CDE systems or cardholder data. Security awareness is a critical component of PCI DSS compliance and the Organization's overall security posture.</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Training Requirements</w:t>
      </w:r>
    </w:p>
    <w:p>
      <w:pPr>
        <w:numPr>
          <w:ilvl w:val="0"/>
          <w:numId w:val="60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personnel shall complete PCI DSS security awareness training upon hire and at least annually thereafter. Training completion records shall be maintained for audit purposes.</w:t>
      </w:r>
    </w:p>
    <w:p>
      <w:pPr>
        <w:numPr>
          <w:ilvl w:val="0"/>
          <w:numId w:val="60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Training content shall cover: the importance of cardholder data security; applicable policies and procedures; their role in protecting cardholder data; how to recognize and report security incidents and suspicious activity; social engineering and phishing awareness; secure password practices and the use of MFA.</w:t>
      </w:r>
    </w:p>
    <w:p>
      <w:pPr>
        <w:numPr>
          <w:ilvl w:val="0"/>
          <w:numId w:val="60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Personnel with specific security responsibilities (SOC analysts, network engineers, developers, PAM administrators) shall receive role-specific security training in addition to general awareness training.</w:t>
      </w:r>
    </w:p>
    <w:p>
      <w:pPr>
        <w:numPr>
          <w:ilvl w:val="0"/>
          <w:numId w:val="60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Phishing simulation exercises shall be conducted at least quarterly to assess personnel awareness and responsiveness to social engineering attacks.</w:t>
      </w:r>
    </w:p>
    <w:p>
      <w:pPr>
        <w:numPr>
          <w:ilvl w:val="0"/>
          <w:numId w:val="606"/>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Security awareness metrics shall be tracked and reported to the CISO quarterly. Personnel failing to complete required training shall be subject to disciplinary action.</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Policy Violations and Enforcement</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Violation Classification and Consequences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Compliance with this policy is mandatory for all personnel within scope. Violations of this policy shall be subject to disciplinary action, up to and including termination of employment or contract, and may result in legal action where applicable.</w:t>
      </w:r>
    </w:p>
    <w:p>
      <w:pPr>
        <w:spacing w:before="200" w:after="120" w:line="240"/>
        <w:ind w:right="0" w:left="0" w:firstLine="0"/>
        <w:jc w:val="left"/>
        <w:rPr>
          <w:rFonts w:ascii="Montserrat" w:hAnsi="Montserrat" w:cs="Montserrat" w:eastAsia="Montserrat"/>
          <w:b/>
          <w:color w:val="1A2E5A"/>
          <w:spacing w:val="0"/>
          <w:position w:val="0"/>
          <w:sz w:val="28"/>
          <w:shd w:fill="auto" w:val="clear"/>
        </w:rPr>
      </w:pPr>
      <w:r>
        <w:rPr>
          <w:rFonts w:ascii="Montserrat" w:hAnsi="Montserrat" w:cs="Montserrat" w:eastAsia="Montserrat"/>
          <w:b/>
          <w:color w:val="1A2E5A"/>
          <w:spacing w:val="0"/>
          <w:position w:val="0"/>
          <w:sz w:val="28"/>
          <w:shd w:fill="auto" w:val="clear"/>
        </w:rPr>
        <w:t xml:space="preserve">Violation Categories</w:t>
      </w:r>
    </w:p>
    <w:p>
      <w:pPr>
        <w:numPr>
          <w:ilvl w:val="0"/>
          <w:numId w:val="61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MINOR VIOLATION: Unintentional, low-risk policy deviations (e.g., failing to complete security training on time, minor password policy non-compliance). Consequence: Formal warning, mandatory remedial training, and corrective action plan.</w:t>
      </w:r>
    </w:p>
    <w:p>
      <w:pPr>
        <w:numPr>
          <w:ilvl w:val="0"/>
          <w:numId w:val="61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MODERATE VIOLATION: Deliberate or repeated policy violations, or policy deviations resulting in elevated risk to the CDE (e.g., sharing access credentials, bypassing security controls). Consequence: Written warning, escalation to HR and management, mandatory retraining, and possible suspension.</w:t>
      </w:r>
    </w:p>
    <w:p>
      <w:pPr>
        <w:numPr>
          <w:ilvl w:val="0"/>
          <w:numId w:val="61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SERIOUS VIOLATION: Actions that directly compromise or place cardholder data at risk, whether intentional or through gross negligence (e.g., storing CVV data, disabling anti-malware, unauthorized access to CHD). Consequence: Immediate suspension, HR investigation, potential termination, and possible legal referral.</w:t>
      </w:r>
    </w:p>
    <w:p>
      <w:pPr>
        <w:numPr>
          <w:ilvl w:val="0"/>
          <w:numId w:val="611"/>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CRIMINAL VIOLATION: Deliberate theft, misuse, or sale of cardholder data, or any action constituting fraud, sabotage, or criminal activity. Consequence: Immediate termination, mandatory referral to law enforcement, and civil/criminal prosecution.</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Review and Maintenance Process</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This policy shall be reviewed and updated at least annually by the CISO in conjunction with the Compliance team. Reviews shall also be triggered by the following events:</w:t>
      </w:r>
    </w:p>
    <w:p>
      <w:pPr>
        <w:numPr>
          <w:ilvl w:val="0"/>
          <w:numId w:val="6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Release of a new version of the PCI DSS standard by the PCI Security Standards Council.</w:t>
      </w:r>
    </w:p>
    <w:p>
      <w:pPr>
        <w:numPr>
          <w:ilvl w:val="0"/>
          <w:numId w:val="6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Significant changes to the CDE, including architectural changes, new technologies, or changes in payment processing scope.</w:t>
      </w:r>
    </w:p>
    <w:p>
      <w:pPr>
        <w:numPr>
          <w:ilvl w:val="0"/>
          <w:numId w:val="6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Following a confirmed or suspected security incident affecting cardholder data.</w:t>
      </w:r>
    </w:p>
    <w:p>
      <w:pPr>
        <w:numPr>
          <w:ilvl w:val="0"/>
          <w:numId w:val="6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Changes in applicable laws, regulations, or contractual obligations.</w:t>
      </w:r>
    </w:p>
    <w:p>
      <w:pPr>
        <w:numPr>
          <w:ilvl w:val="0"/>
          <w:numId w:val="614"/>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Material changes to the Organization's business model or third-party relationships.</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All policy revisions shall follow the Organization's document management process, including version control, review by relevant stakeholders, CISO approval, and distribution to all affected personnel. Superseded versions of this policy shall be archived and retained for a minimum of seven years.</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References</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PCI Security Standards Council. (2022). Payment Card Industry Data Security Standard (PCI DSS) Version 4.0. PCI SSC.</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PCI Security Standards Council. (2022). PCI DSS v4.0 Summary of Changes from PCI DSS Version 3.2.1 to 4.0. PCI SSC.</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PCI Security Standards Council. (2022). Customized Approach for PCI DSS v4.0. PCI SSC.</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National Institute of Standards and Technology (NIST). (2018). NIST Special Publication 800-53 Rev. 5: Security and Privacy Controls for Information Systems and Organizations. NIST.</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National Institute of Standards and Technology (NIST). (2018). NIST Special Publication 800-88 Rev. 1: Guidelines for Media Sanitization. NIST.</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National Institute of Standards and Technology (NIST). (2014). NIST Cybersecurity Framework (CSF) Version 1.1. NIST.</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Center for Internet Security (CIS). CIS Benchmarks (applicable versions for all in-scope system types). CIS.</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SANS Institute. Security Policy Project and Guidance Documents.</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ISO/IEC 27001:2022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Information Security Management Systems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Requirements.</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ISO/IEC 27002:2022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Information Security Controls.</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Palo Alto Networks. Palo Alto NGFW Administration and Security Policy Guide.</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CrowdStrike. Falcon Platform Documentation and Best Practices.</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IBM Security. QRadar SIEM Configuration and Use Case Guide.</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CyberArk. Privileged Access Management Implementation Guide.</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Thales Group. Luna HSM Configuration and Key Management Guide.</w:t>
      </w:r>
    </w:p>
    <w:p>
      <w:pPr>
        <w:numPr>
          <w:ilvl w:val="0"/>
          <w:numId w:val="618"/>
        </w:numPr>
        <w:spacing w:before="40" w:after="40" w:line="240"/>
        <w:ind w:right="0" w:left="72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HashiCorp. Vault Documentation and Secrets Management Best Practices.</w:t>
      </w:r>
    </w:p>
    <w:p>
      <w:pPr>
        <w:pageBreakBefore w:val="true"/>
        <w:spacing w:before="240" w:after="200" w:line="240"/>
        <w:ind w:right="0" w:left="0" w:firstLine="0"/>
        <w:jc w:val="left"/>
        <w:rPr>
          <w:rFonts w:ascii="Montserrat" w:hAnsi="Montserrat" w:cs="Montserrat" w:eastAsia="Montserrat"/>
          <w:b/>
          <w:color w:val="0D1B3E"/>
          <w:spacing w:val="0"/>
          <w:position w:val="0"/>
          <w:sz w:val="36"/>
          <w:shd w:fill="auto" w:val="clear"/>
        </w:rPr>
      </w:pPr>
      <w:r>
        <w:rPr>
          <w:rFonts w:ascii="Montserrat" w:hAnsi="Montserrat" w:cs="Montserrat" w:eastAsia="Montserrat"/>
          <w:b/>
          <w:color w:val="0D1B3E"/>
          <w:spacing w:val="0"/>
          <w:position w:val="0"/>
          <w:sz w:val="36"/>
          <w:shd w:fill="auto" w:val="clear"/>
        </w:rPr>
        <w:t xml:space="preserve">Approval Section</w:t>
      </w:r>
    </w:p>
    <w:p>
      <w:pPr>
        <w:spacing w:before="80" w:after="80" w:line="240"/>
        <w:ind w:right="0" w:left="0" w:firstLine="0"/>
        <w:jc w:val="both"/>
        <w:rPr>
          <w:rFonts w:ascii="Calibri" w:hAnsi="Calibri" w:cs="Calibri" w:eastAsia="Calibri"/>
          <w:color w:val="auto"/>
          <w:spacing w:val="0"/>
          <w:position w:val="0"/>
          <w:sz w:val="20"/>
          <w:shd w:fill="auto" w:val="clear"/>
        </w:rPr>
      </w:pPr>
      <w:r>
        <w:rPr>
          <w:rFonts w:ascii="Calibri" w:hAnsi="Calibri" w:cs="Calibri" w:eastAsia="Calibri"/>
          <w:color w:val="000000"/>
          <w:spacing w:val="0"/>
          <w:position w:val="0"/>
          <w:sz w:val="20"/>
          <w:shd w:fill="auto" w:val="clear"/>
        </w:rPr>
        <w:t xml:space="preserve">By signing below, the designated approvers acknowledge that they have reviewed this policy, confirm that it accurately represents the requirements and controls to be implemented by RedKross Intelligence, and authorize its adoption as an official internal compliance policy document.</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80" w:after="80" w:line="240"/>
        <w:ind w:right="0" w:left="0" w:firstLine="0"/>
        <w:jc w:val="left"/>
        <w:rPr>
          <w:rFonts w:ascii="Calibri" w:hAnsi="Calibri" w:cs="Calibri" w:eastAsia="Calibri"/>
          <w:color w:val="auto"/>
          <w:spacing w:val="0"/>
          <w:position w:val="0"/>
          <w:sz w:val="20"/>
          <w:shd w:fill="FFF8E7" w:val="clear"/>
        </w:rPr>
      </w:pPr>
      <w:r>
        <w:rPr>
          <w:rFonts w:ascii="Calibri" w:hAnsi="Calibri" w:cs="Calibri" w:eastAsia="Calibri"/>
          <w:b/>
          <w:color w:val="C0392B"/>
          <w:spacing w:val="0"/>
          <w:position w:val="0"/>
          <w:sz w:val="18"/>
          <w:shd w:fill="FFF8E7" w:val="clear"/>
        </w:rPr>
        <w:t xml:space="preserve">DRAFT DOCUMENT </w:t>
      </w:r>
      <w:r>
        <w:rPr>
          <w:rFonts w:ascii="Calibri" w:hAnsi="Calibri" w:cs="Calibri" w:eastAsia="Calibri"/>
          <w:b/>
          <w:color w:val="C0392B"/>
          <w:spacing w:val="0"/>
          <w:position w:val="0"/>
          <w:sz w:val="18"/>
          <w:shd w:fill="FFF8E7" w:val="clear"/>
        </w:rPr>
        <w:t xml:space="preserve">–</w:t>
      </w:r>
      <w:r>
        <w:rPr>
          <w:rFonts w:ascii="Calibri" w:hAnsi="Calibri" w:cs="Calibri" w:eastAsia="Calibri"/>
          <w:b/>
          <w:color w:val="C0392B"/>
          <w:spacing w:val="0"/>
          <w:position w:val="0"/>
          <w:sz w:val="18"/>
          <w:shd w:fill="FFF8E7" w:val="clear"/>
        </w:rPr>
        <w:t xml:space="preserve"> </w:t>
      </w:r>
      <w:r>
        <w:rPr>
          <w:rFonts w:ascii="Calibri" w:hAnsi="Calibri" w:cs="Calibri" w:eastAsia="Calibri"/>
          <w:color w:val="4A3000"/>
          <w:spacing w:val="0"/>
          <w:position w:val="0"/>
          <w:sz w:val="18"/>
          <w:shd w:fill="FFF8E7" w:val="clear"/>
        </w:rPr>
        <w:t xml:space="preserve">Prepared by Shubham Nirmal (Intern ID 2160) for internship research and educational purposes. This document does not replace the official PCI DSS standard issued by the PCI Security Standards Council.</w:t>
      </w:r>
    </w:p>
    <w:p>
      <w:pPr>
        <w:spacing w:before="60" w:after="60" w:line="240"/>
        <w:ind w:right="0" w:left="0" w:firstLine="0"/>
        <w:jc w:val="left"/>
        <w:rPr>
          <w:rFonts w:ascii="Calibri" w:hAnsi="Calibri" w:cs="Calibri" w:eastAsia="Calibri"/>
          <w:color w:val="auto"/>
          <w:spacing w:val="0"/>
          <w:position w:val="0"/>
          <w:sz w:val="20"/>
          <w:shd w:fill="auto" w:val="clear"/>
        </w:rPr>
      </w:pPr>
    </w:p>
    <w:tbl>
      <w:tblPr/>
      <w:tblGrid>
        <w:gridCol w:w="3000"/>
        <w:gridCol w:w="2160"/>
        <w:gridCol w:w="2200"/>
        <w:gridCol w:w="2000"/>
      </w:tblGrid>
      <w:tr>
        <w:trPr>
          <w:trHeight w:val="1" w:hRule="atLeast"/>
          <w:jc w:val="left"/>
        </w:trPr>
        <w:tc>
          <w:tcPr>
            <w:tcW w:w="30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Approver Role</w:t>
            </w:r>
          </w:p>
        </w:tc>
        <w:tc>
          <w:tcPr>
            <w:tcW w:w="216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Printed Name</w:t>
            </w:r>
          </w:p>
        </w:tc>
        <w:tc>
          <w:tcPr>
            <w:tcW w:w="22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Signature</w:t>
            </w:r>
          </w:p>
        </w:tc>
        <w:tc>
          <w:tcPr>
            <w:tcW w:w="2000" w:type="dxa"/>
            <w:tcBorders>
              <w:top w:val="single" w:color="2e5f8a" w:sz="1"/>
              <w:left w:val="single" w:color="2e5f8a" w:sz="1"/>
              <w:bottom w:val="single" w:color="2e5f8a" w:sz="1"/>
              <w:right w:val="single" w:color="2e5f8a" w:sz="1"/>
            </w:tcBorders>
            <w:shd w:color="000000" w:fill="0d1b3e" w:val="clear"/>
            <w:tcMar>
              <w:left w:w="120" w:type="dxa"/>
              <w:right w:w="120"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Date</w:t>
            </w:r>
          </w:p>
        </w:tc>
      </w:tr>
      <w:tr>
        <w:trPr>
          <w:trHeight w:val="1" w:hRule="atLeast"/>
          <w:jc w:val="left"/>
        </w:trPr>
        <w:tc>
          <w:tcPr>
            <w:tcW w:w="3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Chief Information Security Officer (CISO)</w:t>
            </w:r>
          </w:p>
        </w:tc>
        <w:tc>
          <w:tcPr>
            <w:tcW w:w="21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___________________________</w:t>
            </w:r>
          </w:p>
        </w:tc>
        <w:tc>
          <w:tcPr>
            <w:tcW w:w="2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w:t>
            </w:r>
          </w:p>
        </w:tc>
      </w:tr>
      <w:tr>
        <w:trPr>
          <w:trHeight w:val="1" w:hRule="atLeast"/>
          <w:jc w:val="left"/>
        </w:trPr>
        <w:tc>
          <w:tcPr>
            <w:tcW w:w="3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Chief Compliance Officer (CCO)</w:t>
            </w:r>
          </w:p>
        </w:tc>
        <w:tc>
          <w:tcPr>
            <w:tcW w:w="2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___________________________</w:t>
            </w:r>
          </w:p>
        </w:tc>
        <w:tc>
          <w:tcPr>
            <w:tcW w:w="2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w:t>
            </w:r>
          </w:p>
        </w:tc>
      </w:tr>
      <w:tr>
        <w:trPr>
          <w:trHeight w:val="1" w:hRule="atLeast"/>
          <w:jc w:val="left"/>
        </w:trPr>
        <w:tc>
          <w:tcPr>
            <w:tcW w:w="3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VP of Information Technology</w:t>
            </w:r>
          </w:p>
        </w:tc>
        <w:tc>
          <w:tcPr>
            <w:tcW w:w="21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___________________________</w:t>
            </w:r>
          </w:p>
        </w:tc>
        <w:tc>
          <w:tcPr>
            <w:tcW w:w="2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w:t>
            </w:r>
          </w:p>
        </w:tc>
      </w:tr>
      <w:tr>
        <w:trPr>
          <w:trHeight w:val="1" w:hRule="atLeast"/>
          <w:jc w:val="left"/>
        </w:trPr>
        <w:tc>
          <w:tcPr>
            <w:tcW w:w="3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Head of Internal Audit</w:t>
            </w:r>
          </w:p>
        </w:tc>
        <w:tc>
          <w:tcPr>
            <w:tcW w:w="2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___________________________</w:t>
            </w:r>
          </w:p>
        </w:tc>
        <w:tc>
          <w:tcPr>
            <w:tcW w:w="2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w:t>
            </w:r>
          </w:p>
        </w:tc>
      </w:tr>
      <w:tr>
        <w:trPr>
          <w:trHeight w:val="1" w:hRule="atLeast"/>
          <w:jc w:val="left"/>
        </w:trPr>
        <w:tc>
          <w:tcPr>
            <w:tcW w:w="3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General Counsel</w:t>
            </w:r>
          </w:p>
        </w:tc>
        <w:tc>
          <w:tcPr>
            <w:tcW w:w="216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2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___________________________</w:t>
            </w:r>
          </w:p>
        </w:tc>
        <w:tc>
          <w:tcPr>
            <w:tcW w:w="2000" w:type="dxa"/>
            <w:tcBorders>
              <w:top w:val="single" w:color="bbcce0" w:sz="1"/>
              <w:left w:val="single" w:color="bbcce0" w:sz="1"/>
              <w:bottom w:val="single" w:color="bbcce0" w:sz="1"/>
              <w:right w:val="single" w:color="bbcce0" w:sz="1"/>
            </w:tcBorders>
            <w:shd w:color="000000" w:fill="ebf3fa"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w:t>
            </w:r>
          </w:p>
        </w:tc>
      </w:tr>
      <w:tr>
        <w:trPr>
          <w:trHeight w:val="1" w:hRule="atLeast"/>
          <w:jc w:val="left"/>
        </w:trPr>
        <w:tc>
          <w:tcPr>
            <w:tcW w:w="3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Policy Drafter (Intern)</w:t>
            </w:r>
          </w:p>
        </w:tc>
        <w:tc>
          <w:tcPr>
            <w:tcW w:w="216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Shubham Nirmal (ID: 2160)</w:t>
            </w:r>
          </w:p>
        </w:tc>
        <w:tc>
          <w:tcPr>
            <w:tcW w:w="22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___________________________</w:t>
            </w:r>
          </w:p>
        </w:tc>
        <w:tc>
          <w:tcPr>
            <w:tcW w:w="2000" w:type="dxa"/>
            <w:tcBorders>
              <w:top w:val="single" w:color="bbcce0" w:sz="1"/>
              <w:left w:val="single" w:color="bbcce0" w:sz="1"/>
              <w:bottom w:val="single" w:color="bbcce0" w:sz="1"/>
              <w:right w:val="single" w:color="bbcce0"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18"/>
                <w:shd w:fill="auto" w:val="clear"/>
              </w:rPr>
              <w:t xml:space="preserve">___/___/______</w:t>
            </w:r>
          </w:p>
        </w:tc>
      </w:tr>
    </w:tbl>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160" w:after="80" w:line="240"/>
        <w:ind w:right="0" w:left="0" w:firstLine="0"/>
        <w:jc w:val="center"/>
        <w:rPr>
          <w:rFonts w:ascii="Calibri" w:hAnsi="Calibri" w:cs="Calibri" w:eastAsia="Calibri"/>
          <w:color w:val="auto"/>
          <w:spacing w:val="0"/>
          <w:position w:val="0"/>
          <w:sz w:val="20"/>
          <w:shd w:fill="0D1B3E" w:val="clear"/>
        </w:rPr>
      </w:pPr>
      <w:r>
        <w:rPr>
          <w:rFonts w:ascii="Montserrat" w:hAnsi="Montserrat" w:cs="Montserrat" w:eastAsia="Montserrat"/>
          <w:b/>
          <w:color w:val="FFFFFF"/>
          <w:spacing w:val="0"/>
          <w:position w:val="0"/>
          <w:sz w:val="22"/>
          <w:shd w:fill="0D1B3E" w:val="clear"/>
        </w:rPr>
        <w:t xml:space="preserve">  REDKROSS INTELLIGENCE </w:t>
      </w:r>
      <w:r>
        <w:rPr>
          <w:rFonts w:ascii="Montserrat" w:hAnsi="Montserrat" w:cs="Montserrat" w:eastAsia="Montserrat"/>
          <w:b/>
          <w:color w:val="FFFFFF"/>
          <w:spacing w:val="0"/>
          <w:position w:val="0"/>
          <w:sz w:val="22"/>
          <w:shd w:fill="0D1B3E" w:val="clear"/>
        </w:rPr>
        <w:t xml:space="preserve">—</w:t>
      </w:r>
      <w:r>
        <w:rPr>
          <w:rFonts w:ascii="Montserrat" w:hAnsi="Montserrat" w:cs="Montserrat" w:eastAsia="Montserrat"/>
          <w:b/>
          <w:color w:val="FFFFFF"/>
          <w:spacing w:val="0"/>
          <w:position w:val="0"/>
          <w:sz w:val="22"/>
          <w:shd w:fill="0D1B3E" w:val="clear"/>
        </w:rPr>
        <w:t xml:space="preserve"> PAYMENT SECURITY &amp; COMPLIANCE DIVISION  </w:t>
      </w:r>
    </w:p>
    <w:p>
      <w:pPr>
        <w:spacing w:before="0" w:after="160" w:line="240"/>
        <w:ind w:right="0" w:left="0" w:firstLine="0"/>
        <w:jc w:val="center"/>
        <w:rPr>
          <w:rFonts w:ascii="Calibri" w:hAnsi="Calibri" w:cs="Calibri" w:eastAsia="Calibri"/>
          <w:color w:val="auto"/>
          <w:spacing w:val="0"/>
          <w:position w:val="0"/>
          <w:sz w:val="20"/>
          <w:shd w:fill="0D1B3E" w:val="clear"/>
        </w:rPr>
      </w:pPr>
      <w:r>
        <w:rPr>
          <w:rFonts w:ascii="Calibri" w:hAnsi="Calibri" w:cs="Calibri" w:eastAsia="Calibri"/>
          <w:color w:val="D6E4F0"/>
          <w:spacing w:val="0"/>
          <w:position w:val="0"/>
          <w:sz w:val="18"/>
          <w:shd w:fill="0D1B3E" w:val="clear"/>
        </w:rPr>
        <w:t xml:space="preserve">  PCI DSS v4.0 Compliance Policy | Document ID: RKI-POL-SEC-PCI-001 | Version 1.0 DRAFT | June 2026  </w:t>
      </w:r>
    </w:p>
    <w:p>
      <w:pPr>
        <w:spacing w:before="60" w:after="60" w:line="240"/>
        <w:ind w:right="0" w:left="0" w:firstLine="0"/>
        <w:jc w:val="left"/>
        <w:rPr>
          <w:rFonts w:ascii="Calibri" w:hAnsi="Calibri" w:cs="Calibri" w:eastAsia="Calibri"/>
          <w:color w:val="auto"/>
          <w:spacing w:val="0"/>
          <w:position w:val="0"/>
          <w:sz w:val="20"/>
          <w:shd w:fill="auto" w:val="clear"/>
        </w:rPr>
      </w:pPr>
    </w:p>
    <w:p>
      <w:pPr>
        <w:spacing w:before="0" w:after="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i/>
          <w:color w:val="4A6582"/>
          <w:spacing w:val="0"/>
          <w:position w:val="0"/>
          <w:sz w:val="18"/>
          <w:shd w:fill="auto" w:val="clear"/>
        </w:rPr>
        <w:t xml:space="preserve">DRAFT DOCUMENT </w:t>
      </w:r>
      <w:r>
        <w:rPr>
          <w:rFonts w:ascii="Calibri" w:hAnsi="Calibri" w:cs="Calibri" w:eastAsia="Calibri"/>
          <w:i/>
          <w:color w:val="4A6582"/>
          <w:spacing w:val="0"/>
          <w:position w:val="0"/>
          <w:sz w:val="18"/>
          <w:shd w:fill="auto" w:val="clear"/>
        </w:rPr>
        <w:t xml:space="preserve">—</w:t>
      </w:r>
      <w:r>
        <w:rPr>
          <w:rFonts w:ascii="Calibri" w:hAnsi="Calibri" w:cs="Calibri" w:eastAsia="Calibri"/>
          <w:i/>
          <w:color w:val="4A6582"/>
          <w:spacing w:val="0"/>
          <w:position w:val="0"/>
          <w:sz w:val="18"/>
          <w:shd w:fill="auto" w:val="clear"/>
        </w:rPr>
        <w:t xml:space="preserve"> Prepared by Shubham Nirmal (Intern ID 2160) for internship research and educational purposes only.</w:t>
      </w:r>
    </w:p>
    <w:p>
      <w:pPr>
        <w:spacing w:before="0" w:after="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i/>
          <w:color w:val="4A6582"/>
          <w:spacing w:val="0"/>
          <w:position w:val="0"/>
          <w:sz w:val="18"/>
          <w:shd w:fill="auto" w:val="clear"/>
        </w:rPr>
        <w:t xml:space="preserve">This document does not replace the official PCI DSS standard issued by the PCI Security Standards Council.</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num w:numId="135">
    <w:abstractNumId w:val="180"/>
  </w:num>
  <w:num w:numId="139">
    <w:abstractNumId w:val="174"/>
  </w:num>
  <w:num w:numId="260">
    <w:abstractNumId w:val="168"/>
  </w:num>
  <w:num w:numId="290">
    <w:abstractNumId w:val="162"/>
  </w:num>
  <w:num w:numId="294">
    <w:abstractNumId w:val="156"/>
  </w:num>
  <w:num w:numId="318">
    <w:abstractNumId w:val="150"/>
  </w:num>
  <w:num w:numId="320">
    <w:abstractNumId w:val="144"/>
  </w:num>
  <w:num w:numId="322">
    <w:abstractNumId w:val="138"/>
  </w:num>
  <w:num w:numId="327">
    <w:abstractNumId w:val="132"/>
  </w:num>
  <w:num w:numId="330">
    <w:abstractNumId w:val="126"/>
  </w:num>
  <w:num w:numId="335">
    <w:abstractNumId w:val="120"/>
  </w:num>
  <w:num w:numId="337">
    <w:abstractNumId w:val="114"/>
  </w:num>
  <w:num w:numId="341">
    <w:abstractNumId w:val="108"/>
  </w:num>
  <w:num w:numId="344">
    <w:abstractNumId w:val="102"/>
  </w:num>
  <w:num w:numId="349">
    <w:abstractNumId w:val="96"/>
  </w:num>
  <w:num w:numId="351">
    <w:abstractNumId w:val="90"/>
  </w:num>
  <w:num w:numId="356">
    <w:abstractNumId w:val="84"/>
  </w:num>
  <w:num w:numId="358">
    <w:abstractNumId w:val="78"/>
  </w:num>
  <w:num w:numId="363">
    <w:abstractNumId w:val="72"/>
  </w:num>
  <w:num w:numId="368">
    <w:abstractNumId w:val="66"/>
  </w:num>
  <w:num w:numId="370">
    <w:abstractNumId w:val="60"/>
  </w:num>
  <w:num w:numId="373">
    <w:abstractNumId w:val="54"/>
  </w:num>
  <w:num w:numId="378">
    <w:abstractNumId w:val="48"/>
  </w:num>
  <w:num w:numId="380">
    <w:abstractNumId w:val="42"/>
  </w:num>
  <w:num w:numId="385">
    <w:abstractNumId w:val="36"/>
  </w:num>
  <w:num w:numId="407">
    <w:abstractNumId w:val="30"/>
  </w:num>
  <w:num w:numId="414">
    <w:abstractNumId w:val="24"/>
  </w:num>
  <w:num w:numId="606">
    <w:abstractNumId w:val="18"/>
  </w:num>
  <w:num w:numId="611">
    <w:abstractNumId w:val="12"/>
  </w:num>
  <w:num w:numId="614">
    <w:abstractNumId w:val="6"/>
  </w:num>
  <w:num w:numId="6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