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p>
    <w:p w:rsidR="00000000" w:rsidDel="00000000" w:rsidP="00000000" w:rsidRDefault="00000000" w:rsidRPr="00000000" w14:paraId="00000004">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p>
    <w:p w:rsidR="00000000" w:rsidDel="00000000" w:rsidP="00000000" w:rsidRDefault="00000000" w:rsidRPr="00000000" w14:paraId="00000005">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p>
    <w:p w:rsidR="00000000" w:rsidDel="00000000" w:rsidP="00000000" w:rsidRDefault="00000000" w:rsidRPr="00000000" w14:paraId="00000006">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2"/>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1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2" ma:contentTypeDescription="Create a new document." ma:contentTypeScope="" ma:versionID="14d9907afe9ce8b3bf2abb7f7e130780">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29bf57cee79d6e57a94ccfe2076365ad"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de689a-01eb-4c0b-a5a7-596c835d343b}"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E0D45E-8213-4E25-B043-79151571C635}"/>
</file>

<file path=customXml/itemProps2.xml><?xml version="1.0" encoding="utf-8"?>
<ds:datastoreItem xmlns:ds="http://schemas.openxmlformats.org/officeDocument/2006/customXml" ds:itemID="{69C14CAA-970F-43D5-8835-F804D21E4BB5}"/>
</file>