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Publikationsverzeichnis</w:t>
      </w:r>
    </w:p>
    <w:p>
      <w:pPr>
        <w:keepNext/>
        <w:spacing w:before="160" w:after="4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keepNext/>
        <w:spacing w:before="160" w:after="4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keepNext/>
        <w:spacing w:before="160" w:after="40"/>
      </w:pPr>
      <w:r>
        <w:rPr>
          <w:b/>
          <w:i w:val="0"/>
          <w:sz w:val="20"/>
        </w:rPr>
        <w:t>Aufsätze/Beiträge in Sammelwerken und Zeitschriften [double-blind peer-reviewed]</w:t>
      </w:r>
    </w:p>
    <w:p>
      <w:pPr>
        <w:pStyle w:val="ListBullet"/>
        <w:spacing w:before="0" w:after="0"/>
        <w:ind w:left="360"/>
      </w:pPr>
      <w:r>
        <w:rPr>
          <w:b w:val="0"/>
          <w:i w:val="0"/>
          <w:sz w:val="20"/>
        </w:rPr>
        <w:t>Schneider, F./Kminek, H./Böhning-Gaese, K. (2026): About transformation in transdisciplinary approaches. Environmental Sciences Europe. DOI: 10.1186/s12302-026-01402-y.</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keepNext/>
        <w:spacing w:before="160" w:after="40"/>
      </w:pPr>
      <w:r>
        <w:rPr>
          <w:b/>
          <w:i w:val="0"/>
          <w:sz w:val="20"/>
        </w:rPr>
        <w:t>Aufsätze/Beiträge in Sammelwerken und Zeitschriften [peer-reviewed]</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keepNext/>
        <w:spacing w:before="160" w:after="40"/>
      </w:pPr>
      <w:r>
        <w:rPr>
          <w:b/>
          <w:i w:val="0"/>
          <w:sz w:val="20"/>
        </w:rPr>
        <w:t>Rezensionen/Berichte/Vermischtes</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keepNext/>
        <w:spacing w:before="120" w:after="40"/>
      </w:pPr>
      <w:r>
        <w:rPr>
          <w:b/>
          <w:i/>
          <w:sz w:val="20"/>
        </w:rPr>
        <w:t>Vorträge 2024–2026 (Alpen-Adria-Universität Klagenfurt)</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keepNext/>
        <w:spacing w:before="160" w:after="4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keepNext/>
        <w:spacing w:before="160" w:after="40"/>
      </w:pPr>
      <w:r>
        <w:rPr>
          <w:b/>
          <w:i w:val="0"/>
          <w:sz w:val="20"/>
        </w:rPr>
        <w:t>Workshops</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keepNext/>
        <w:spacing w:before="160" w:after="4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keepNext/>
        <w:spacing w:before="160" w:after="4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p>
      <w:pPr>
        <w:keepNext/>
        <w:spacing w:before="160" w:after="4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keepNext/>
        <w:spacing w:before="160" w:after="4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p>
      <w:pPr>
        <w:keepNext/>
        <w:spacing w:before="160" w:after="4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p>
      <w:pPr>
        <w:keepNext/>
        <w:spacing w:before="160" w:after="4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p>
      <w:pPr>
        <w:keepNext/>
        <w:spacing w:before="160" w:after="4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p>
      <w:pPr>
        <w:keepNext/>
        <w:spacing w:before="160" w:after="40"/>
      </w:pPr>
      <w:r>
        <w:rPr>
          <w:b/>
          <w:i w:val="0"/>
          <w:sz w:val="20"/>
        </w:rPr>
        <w:t>Weitere Gutachtertätigkeit</w:t>
      </w:r>
    </w:p>
    <w:p>
      <w:pPr>
        <w:pStyle w:val="ListBullet"/>
        <w:spacing w:before="0" w:after="0"/>
        <w:ind w:left="360"/>
      </w:pPr>
      <w:r>
        <w:rPr>
          <w:b w:val="0"/>
          <w:i w:val="0"/>
          <w:sz w:val="20"/>
        </w:rPr>
        <w:t>Zahlreiche Tagungen und Konferenzen (u. a. ECER 2023; weitere ab 2024 s. oben)</w:t>
      </w:r>
    </w:p>
    <w:p>
      <w:pPr>
        <w:pStyle w:val="ListBullet"/>
        <w:spacing w:before="0" w:after="0"/>
        <w:ind w:left="360"/>
      </w:pPr>
      <w:r>
        <w:rPr>
          <w:b w:val="0"/>
          <w:i w:val="0"/>
          <w:sz w:val="20"/>
        </w:rPr>
        <w:t>APCC Special Reports: Strukturen für ein klimafreundliches Leben! (sr22.ccca.ac.at)</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r>
        <w:rPr>
          <w:b w:val="0"/>
          <w:i/>
          <w:sz w:val="20"/>
        </w:rPr>
        <w:t>Lehrveranstaltungen werden ergänzt</w:t>
      </w:r>
    </w:p>
    <w:p>
      <w:pPr>
        <w:keepNext/>
        <w:spacing w:before="120" w:after="40"/>
      </w:pPr>
      <w:r>
        <w:rPr>
          <w:b/>
          <w:i/>
          <w:sz w:val="20"/>
        </w:rPr>
        <w:t>Sommersemester 2025</w:t>
      </w:r>
    </w:p>
    <w:p>
      <w:pPr>
        <w:pStyle w:val="ListBullet"/>
        <w:spacing w:before="0" w:after="0"/>
        <w:ind w:left="360"/>
      </w:pPr>
      <w:r>
        <w:rPr>
          <w:b w:val="0"/>
          <w:i/>
          <w:sz w:val="20"/>
        </w:rPr>
        <w:t>Lehrveranstaltungen werden ergänzt</w:t>
      </w:r>
    </w:p>
    <w:p>
      <w:pPr>
        <w:keepNext/>
        <w:spacing w:before="120" w:after="40"/>
      </w:pPr>
      <w:r>
        <w:rPr>
          <w:b/>
          <w:i/>
          <w:sz w:val="20"/>
        </w:rPr>
        <w:t>Wintersemester 2024/2025</w:t>
      </w:r>
    </w:p>
    <w:p>
      <w:pPr>
        <w:pStyle w:val="ListBullet"/>
        <w:spacing w:before="0" w:after="0"/>
        <w:ind w:left="360"/>
      </w:pPr>
      <w:r>
        <w:rPr>
          <w:b w:val="0"/>
          <w:i/>
          <w:sz w:val="20"/>
        </w:rPr>
        <w:t>Lehrveranstaltungen werden ergänzt</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