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1"/>
              </w:rPr>
              <w:t>05/2017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1"/>
              </w:rPr>
              <w:t>04/2010</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Diplom in Pädagogik, Goethe-Universität Frankfurt am Main.</w:t>
            </w:r>
          </w:p>
        </w:tc>
        <w:tc>
          <w:tcPr>
            <w:tcW w:type="dxa" w:w="2304"/>
            <w:vAlign w:val="top"/>
          </w:tcPr>
          <w:p>
            <w:pPr>
              <w:spacing w:before="0" w:after="0"/>
              <w:jc w:val="right"/>
            </w:pPr>
            <w:r>
              <w:rPr>
                <w:sz w:val="21"/>
              </w:rPr>
              <w:t>10/2006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Abitur, Goethe Gymnasium Neu-Isenburg.</w:t>
            </w:r>
          </w:p>
        </w:tc>
        <w:tc>
          <w:tcPr>
            <w:tcW w:type="dxa" w:w="2304"/>
            <w:vAlign w:val="top"/>
          </w:tcPr>
          <w:p>
            <w:pPr>
              <w:spacing w:before="0" w:after="0"/>
              <w:jc w:val="right"/>
            </w:pPr>
            <w:r>
              <w:rPr>
                <w:sz w:val="21"/>
              </w:rPr>
              <w:t>06/1999</w:t>
            </w:r>
          </w:p>
        </w:tc>
      </w:tr>
    </w:tbl>
    <w:p>
      <w:pPr>
        <w:spacing w:before="0" w:after="0"/>
      </w:pPr>
      <w:r>
        <w:rPr>
          <w:sz w:val="4"/>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Wintersemester 2025/2026</w:t>
      </w:r>
    </w:p>
    <w:p>
      <w:pPr>
        <w:pStyle w:val="ListBullet"/>
        <w:spacing w:before="0" w:after="0"/>
        <w:ind w:left="360"/>
      </w:pPr>
      <w:r>
        <w:rPr>
          <w:b w:val="0"/>
          <w:i/>
          <w:sz w:val="20"/>
        </w:rPr>
        <w:t>Lehrveranstaltungen werden ergänzt</w:t>
      </w:r>
    </w:p>
    <w:p>
      <w:pPr>
        <w:keepNext/>
        <w:spacing w:before="120" w:after="40"/>
      </w:pPr>
      <w:r>
        <w:rPr>
          <w:b/>
          <w:i/>
          <w:sz w:val="20"/>
        </w:rPr>
        <w:t>Sommersemester 2025</w:t>
      </w:r>
    </w:p>
    <w:p>
      <w:pPr>
        <w:pStyle w:val="ListBullet"/>
        <w:spacing w:before="0" w:after="0"/>
        <w:ind w:left="360"/>
      </w:pPr>
      <w:r>
        <w:rPr>
          <w:b w:val="0"/>
          <w:i/>
          <w:sz w:val="20"/>
        </w:rPr>
        <w:t>Lehrveranstaltungen werden ergänzt</w:t>
      </w:r>
    </w:p>
    <w:p>
      <w:pPr>
        <w:keepNext/>
        <w:spacing w:before="120" w:after="40"/>
      </w:pPr>
      <w:r>
        <w:rPr>
          <w:b/>
          <w:i/>
          <w:sz w:val="20"/>
        </w:rPr>
        <w:t>Wintersemester 2024/2025</w:t>
      </w:r>
    </w:p>
    <w:p>
      <w:pPr>
        <w:pStyle w:val="ListBullet"/>
        <w:spacing w:before="0" w:after="0"/>
        <w:ind w:left="360"/>
      </w:pPr>
      <w:r>
        <w:rPr>
          <w:b w:val="0"/>
          <w:i/>
          <w:sz w:val="20"/>
        </w:rPr>
        <w:t>Lehrveranstaltungen werden ergänzt</w:t>
      </w:r>
    </w:p>
    <w:p>
      <w:pPr>
        <w:keepNext/>
        <w:spacing w:before="120" w:after="40"/>
      </w:pPr>
      <w:r>
        <w:rPr>
          <w:b/>
          <w:i/>
          <w:sz w:val="20"/>
        </w:rPr>
        <w:t>Sommersemester 2024</w:t>
      </w:r>
    </w:p>
    <w:p>
      <w:pPr>
        <w:pStyle w:val="ListBullet"/>
        <w:spacing w:before="0" w:after="0"/>
        <w:ind w:left="360"/>
      </w:pPr>
      <w:r>
        <w:rPr>
          <w:b w:val="0"/>
          <w:i/>
          <w:sz w:val="20"/>
        </w:rPr>
        <w:t>Kein Lehrangebot.</w:t>
      </w:r>
    </w:p>
    <w:p>
      <w:pPr>
        <w:keepNext/>
        <w:spacing w:before="120" w:after="40"/>
      </w:pPr>
      <w:r>
        <w:rPr>
          <w:b/>
          <w:i/>
          <w:sz w:val="20"/>
        </w:rPr>
        <w:t>Goethe-Universität Frankfurt am Main</w:t>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Praktikumsbegleitendes Seminar. Universität Flensburg, Philosophisches Seminar.</w:t>
            </w:r>
          </w:p>
        </w:tc>
        <w:tc>
          <w:tcPr>
            <w:tcW w:type="dxa" w:w="2304"/>
            <w:vAlign w:val="top"/>
          </w:tcPr>
          <w:p>
            <w:pPr>
              <w:spacing w:before="0" w:after="0"/>
              <w:jc w:val="right"/>
            </w:pPr>
            <w:r>
              <w:rPr>
                <w:sz w:val="21"/>
              </w:rPr>
              <w:t>Herbstsem. 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1"/>
              </w:rPr>
              <w:t>Frühjahrssem. 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1"/>
              </w:rPr>
              <w:t>Sommersem. 2019</w:t>
            </w:r>
          </w:p>
        </w:tc>
      </w:tr>
    </w:tbl>
    <w:p>
      <w:pPr>
        <w:spacing w:before="0" w:after="0"/>
      </w:pPr>
      <w:r>
        <w:rPr>
          <w:sz w:val="4"/>
        </w:rPr>
      </w:r>
    </w:p>
    <w:p>
      <w:pPr>
        <w:keepNext/>
        <w:spacing w:before="160" w:after="60"/>
        <w:pBdr>
          <w:bottom w:val="single" w:sz="6" w:space="1" w:color="000000"/>
        </w:pBdr>
      </w:pPr>
      <w:r>
        <w:rPr>
          <w:smallCaps/>
          <w:sz w:val="26"/>
        </w:rPr>
        <w:t>Publikationsverzeichnis</w:t>
      </w:r>
    </w:p>
    <w:p>
      <w:pPr>
        <w:keepNext/>
        <w:spacing w:before="160" w:after="4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keepNext/>
        <w:spacing w:before="160" w:after="4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keepNext/>
        <w:spacing w:before="160" w:after="4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keepNext/>
        <w:spacing w:before="160" w:after="4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keepNext/>
        <w:spacing w:before="160" w:after="4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keepNext/>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keepNext/>
        <w:spacing w:before="160" w:after="4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keepNext/>
        <w:spacing w:before="160" w:after="4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 – Organisation, Durchführung, eigener Vortrag</w:t>
            </w:r>
          </w:p>
        </w:tc>
        <w:tc>
          <w:tcPr>
            <w:tcW w:type="dxa" w:w="2304"/>
            <w:vAlign w:val="top"/>
          </w:tcPr>
          <w:p>
            <w:pPr>
              <w:spacing w:before="0" w:after="0"/>
              <w:jc w:val="right"/>
            </w:pPr>
            <w:r>
              <w:rPr>
                <w:sz w:val="22"/>
              </w:rPr>
              <w:t>2013–2015,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 – Organisation, Durchführung, eigener Vortrag</w:t>
            </w:r>
          </w:p>
        </w:tc>
        <w:tc>
          <w:tcPr>
            <w:tcW w:type="dxa" w:w="2304"/>
            <w:vAlign w:val="top"/>
          </w:tcPr>
          <w:p>
            <w:pPr>
              <w:spacing w:before="0" w:after="0"/>
              <w:jc w:val="right"/>
            </w:pPr>
            <w:r>
              <w:rPr>
                <w:sz w:val="22"/>
              </w:rPr>
              <w:t>2014–2018,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 – Organisation, Durchführung, eigener Vortrag</w:t>
            </w:r>
          </w:p>
        </w:tc>
        <w:tc>
          <w:tcPr>
            <w:tcW w:type="dxa" w:w="2304"/>
            <w:vAlign w:val="top"/>
          </w:tcPr>
          <w:p>
            <w:pPr>
              <w:spacing w:before="0" w:after="0"/>
              <w:jc w:val="right"/>
            </w:pPr>
            <w:r>
              <w:rPr>
                <w:sz w:val="22"/>
              </w:rPr>
              <w:t>Juni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 – Mitglied des Organisationsteams, inkl. Begutachtung der Einreichungen</w:t>
            </w:r>
          </w:p>
        </w:tc>
        <w:tc>
          <w:tcPr>
            <w:tcW w:type="dxa" w:w="2304"/>
            <w:vAlign w:val="top"/>
          </w:tcPr>
          <w:p>
            <w:pPr>
              <w:spacing w:before="0" w:after="0"/>
              <w:jc w:val="right"/>
            </w:pPr>
            <w:r>
              <w:rPr>
                <w:sz w:val="22"/>
              </w:rPr>
              <w:t>Sept.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 – Mitglied des Organisationsteams, inkl. Begutachtung der Einreichungen</w:t>
            </w:r>
          </w:p>
        </w:tc>
        <w:tc>
          <w:tcPr>
            <w:tcW w:type="dxa" w:w="2304"/>
            <w:vAlign w:val="top"/>
          </w:tcPr>
          <w:p>
            <w:pPr>
              <w:spacing w:before="0" w:after="0"/>
              <w:jc w:val="right"/>
            </w:pPr>
            <w:r>
              <w:rPr>
                <w:sz w:val="22"/>
              </w:rPr>
              <w:t>Herbst 2019, Universität Mainz</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 – Mitglied des Organisationsteams, eigener Vortrag (02/2022)</w:t>
            </w:r>
          </w:p>
        </w:tc>
        <w:tc>
          <w:tcPr>
            <w:tcW w:type="dxa" w:w="2304"/>
            <w:vAlign w:val="top"/>
          </w:tcPr>
          <w:p>
            <w:pPr>
              <w:spacing w:before="0" w:after="0"/>
              <w:jc w:val="right"/>
            </w:pPr>
            <w:r>
              <w:rPr>
                <w:sz w:val="22"/>
              </w:rPr>
              <w:t>2021–2022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 – Mitglied des Organisationsteams</w:t>
            </w:r>
          </w:p>
        </w:tc>
        <w:tc>
          <w:tcPr>
            <w:tcW w:type="dxa" w:w="2304"/>
            <w:vAlign w:val="top"/>
          </w:tcPr>
          <w:p>
            <w:pPr>
              <w:spacing w:before="0" w:after="0"/>
              <w:jc w:val="right"/>
            </w:pPr>
            <w:r>
              <w:rPr>
                <w:sz w:val="22"/>
              </w:rPr>
              <w:t>07/2021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 – Organisation, Durchführung</w:t>
            </w:r>
          </w:p>
        </w:tc>
        <w:tc>
          <w:tcPr>
            <w:tcW w:type="dxa" w:w="2304"/>
            <w:vAlign w:val="top"/>
          </w:tcPr>
          <w:p>
            <w:pPr>
              <w:spacing w:before="0" w:after="0"/>
              <w:jc w:val="right"/>
            </w:pPr>
            <w:r>
              <w:rPr>
                <w:sz w:val="22"/>
              </w:rPr>
              <w:t>Sept. 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 – Mitglied des Organisationsteams, inkl. Begutachtung der Einreichungen</w:t>
            </w:r>
          </w:p>
        </w:tc>
        <w:tc>
          <w:tcPr>
            <w:tcW w:type="dxa" w:w="2304"/>
            <w:vAlign w:val="top"/>
          </w:tcPr>
          <w:p>
            <w:pPr>
              <w:spacing w:before="0" w:after="0"/>
              <w:jc w:val="right"/>
            </w:pPr>
            <w:r>
              <w:rPr>
                <w:sz w:val="22"/>
              </w:rPr>
              <w:t>Sept. 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 – Mitglied des Organisationsteams (mit J. Costa, A.-K. Holfelder, J. Hufnagl, M. Osterrieder, A. Scheunpflug, M. Singer-Brodowski, D. Taube)</w:t>
            </w:r>
          </w:p>
        </w:tc>
        <w:tc>
          <w:tcPr>
            <w:tcW w:type="dxa" w:w="2304"/>
            <w:vAlign w:val="top"/>
          </w:tcPr>
          <w:p>
            <w:pPr>
              <w:spacing w:before="0" w:after="0"/>
              <w:jc w:val="right"/>
            </w:pPr>
            <w:r>
              <w:rPr>
                <w:sz w:val="22"/>
              </w:rPr>
              <w:t>18.–20.09.2024, Bamberg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 – Mitglied des Organisationsteams (mit J. Costa, M. Singer-Brodowski, Ch. Wulf, U. Stenger, L. Klepacki, N. Grünberger, J. Engel)</w:t>
            </w:r>
          </w:p>
        </w:tc>
        <w:tc>
          <w:tcPr>
            <w:tcW w:type="dxa" w:w="2304"/>
            <w:vAlign w:val="top"/>
          </w:tcPr>
          <w:p>
            <w:pPr>
              <w:spacing w:before="0" w:after="0"/>
              <w:jc w:val="right"/>
            </w:pPr>
            <w:r>
              <w:rPr>
                <w:sz w:val="22"/>
              </w:rPr>
              <w:t>14.–15.11.2024, Nürnberg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 – Mitglied des Organisationsteams (mit D. Amirpur, N. Bernhard, J. Costa, A. Dogmus, K. Falkenberg, S. Hartong, R. Nikolai, J. Panagiotopoulou, S. Ress, M. Singer-Brodowski)</w:t>
            </w:r>
          </w:p>
        </w:tc>
        <w:tc>
          <w:tcPr>
            <w:tcW w:type="dxa" w:w="2304"/>
            <w:vAlign w:val="top"/>
          </w:tcPr>
          <w:p>
            <w:pPr>
              <w:spacing w:before="0" w:after="0"/>
              <w:jc w:val="right"/>
            </w:pPr>
            <w:r>
              <w:rPr>
                <w:sz w:val="22"/>
              </w:rPr>
              <w:t>20.–21.03.2025, Berlin (TU)</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 – Mitglied des Organisationsteams (mit M. Singer-Brodowski, U. Stenger, Ch. Wulf, O. Bilgi, J. Dinkelaker, J. Elven, S. Gaubitz, L. Klepacki, T. Klepacki, S. Ress, O. Sanders)</w:t>
            </w:r>
          </w:p>
        </w:tc>
        <w:tc>
          <w:tcPr>
            <w:tcW w:type="dxa" w:w="2304"/>
            <w:vAlign w:val="top"/>
          </w:tcPr>
          <w:p>
            <w:pPr>
              <w:spacing w:before="0" w:after="0"/>
              <w:jc w:val="right"/>
            </w:pPr>
            <w:r>
              <w:rPr>
                <w:sz w:val="22"/>
              </w:rPr>
              <w:t>29.09.–01.10.2025, Köln</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keepNext/>
        <w:spacing w:before="160" w:after="4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Decolonising Disciplines.</w:t>
            </w:r>
          </w:p>
        </w:tc>
        <w:tc>
          <w:tcPr>
            <w:tcW w:type="dxa" w:w="2304"/>
            <w:vAlign w:val="top"/>
          </w:tcPr>
          <w:p>
            <w:pPr>
              <w:spacing w:before="0" w:after="0"/>
              <w:jc w:val="right"/>
            </w:pPr>
            <w:r>
              <w:rPr>
                <w:sz w:val="21"/>
              </w:rPr>
              <w:t>2018</w:t>
            </w:r>
          </w:p>
        </w:tc>
      </w:tr>
    </w:tbl>
    <w:p>
      <w:pPr>
        <w:spacing w:before="0" w:after="0"/>
      </w:pPr>
      <w:r>
        <w:rPr>
          <w:sz w:val="4"/>
        </w:rPr>
      </w:r>
    </w:p>
    <w:p>
      <w:pPr>
        <w:keepNext/>
        <w:spacing w:before="160" w:after="4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Educations (openscience.fr/Educations).</w:t>
            </w:r>
          </w:p>
        </w:tc>
        <w:tc>
          <w:tcPr>
            <w:tcW w:type="dxa" w:w="2304"/>
            <w:vAlign w:val="top"/>
          </w:tcPr>
          <w:p>
            <w:pPr>
              <w:spacing w:before="0" w:after="0"/>
              <w:jc w:val="right"/>
            </w:pPr>
            <w:r>
              <w:rPr>
                <w:sz w:val="21"/>
              </w:rPr>
              <w:t>seit 11/2025</w:t>
            </w:r>
          </w:p>
        </w:tc>
      </w:tr>
    </w:tbl>
    <w:p>
      <w:pPr>
        <w:spacing w:before="0" w:after="0"/>
      </w:pPr>
      <w:r>
        <w:rPr>
          <w:sz w:val="4"/>
        </w:rPr>
      </w:r>
    </w:p>
    <w:p>
      <w:pPr>
        <w:keepNext/>
        <w:spacing w:before="160" w:after="4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keepNext/>
        <w:spacing w:before="160" w:after="4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The Journal of Environmental Education.</w:t>
            </w:r>
          </w:p>
        </w:tc>
        <w:tc>
          <w:tcPr>
            <w:tcW w:type="dxa" w:w="2304"/>
            <w:vAlign w:val="top"/>
          </w:tcPr>
          <w:p>
            <w:pPr>
              <w:spacing w:before="0" w:after="0"/>
              <w:jc w:val="right"/>
            </w:pPr>
            <w:r>
              <w:rPr>
                <w:sz w:val="21"/>
              </w:rPr>
              <w:t>04–04/2024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for Educational Science.</w:t>
            </w:r>
          </w:p>
        </w:tc>
        <w:tc>
          <w:tcPr>
            <w:tcW w:type="dxa" w:w="2304"/>
            <w:vAlign w:val="top"/>
          </w:tcPr>
          <w:p>
            <w:pPr>
              <w:spacing w:before="0" w:after="0"/>
              <w:jc w:val="right"/>
            </w:pPr>
            <w:r>
              <w:rPr>
                <w:sz w:val="21"/>
              </w:rPr>
              <w:t>11–12/2024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Discover Education.</w:t>
            </w:r>
          </w:p>
        </w:tc>
        <w:tc>
          <w:tcPr>
            <w:tcW w:type="dxa" w:w="2304"/>
            <w:vAlign w:val="top"/>
          </w:tcPr>
          <w:p>
            <w:pPr>
              <w:spacing w:before="0" w:after="0"/>
              <w:jc w:val="right"/>
            </w:pPr>
            <w:r>
              <w:rPr>
                <w:sz w:val="21"/>
              </w:rPr>
              <w:t>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Foundations of Science.</w:t>
            </w:r>
          </w:p>
        </w:tc>
        <w:tc>
          <w:tcPr>
            <w:tcW w:type="dxa" w:w="2304"/>
            <w:vAlign w:val="top"/>
          </w:tcPr>
          <w:p>
            <w:pPr>
              <w:spacing w:before="0" w:after="0"/>
              <w:jc w:val="right"/>
            </w:pPr>
            <w:r>
              <w:rPr>
                <w:sz w:val="21"/>
              </w:rPr>
              <w:t>11–12/2025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01/2026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02–03/2026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Curriculum Studies.</w:t>
            </w:r>
          </w:p>
        </w:tc>
        <w:tc>
          <w:tcPr>
            <w:tcW w:type="dxa" w:w="2304"/>
            <w:vAlign w:val="top"/>
          </w:tcPr>
          <w:p>
            <w:pPr>
              <w:spacing w:before="0" w:after="0"/>
              <w:jc w:val="right"/>
            </w:pPr>
            <w:r>
              <w:rPr>
                <w:sz w:val="21"/>
              </w:rPr>
              <w:t>02–05/2026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Ludwigsburg Contributions to Media Education (LBzM).</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Education Sciences.</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Sustainability, Education Sciences.</w:t>
            </w:r>
          </w:p>
        </w:tc>
        <w:tc>
          <w:tcPr>
            <w:tcW w:type="dxa" w:w="2304"/>
            <w:vAlign w:val="top"/>
          </w:tcPr>
          <w:p>
            <w:pPr>
              <w:spacing w:before="0" w:after="0"/>
              <w:jc w:val="right"/>
            </w:pPr>
            <w:r>
              <w:rPr>
                <w:sz w:val="21"/>
              </w:rPr>
              <w:t>05/2026–04/2027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Frontiers in Sociology.</w:t>
            </w:r>
          </w:p>
        </w:tc>
        <w:tc>
          <w:tcPr>
            <w:tcW w:type="dxa" w:w="2304"/>
            <w:vAlign w:val="top"/>
          </w:tcPr>
          <w:p>
            <w:pPr>
              <w:spacing w:before="0" w:after="0"/>
              <w:jc w:val="right"/>
            </w:pPr>
            <w:r>
              <w:rPr>
                <w:sz w:val="21"/>
              </w:rPr>
              <w:t>05–06/2026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Revue Education.</w:t>
            </w:r>
          </w:p>
        </w:tc>
        <w:tc>
          <w:tcPr>
            <w:tcW w:type="dxa" w:w="2304"/>
            <w:vAlign w:val="top"/>
          </w:tcPr>
          <w:p>
            <w:pPr>
              <w:spacing w:before="0" w:after="0"/>
              <w:jc w:val="right"/>
            </w:pPr>
            <w:r>
              <w:rPr>
                <w:sz w:val="21"/>
              </w:rPr>
              <w:t>06/2026</w:t>
            </w:r>
          </w:p>
        </w:tc>
      </w:tr>
    </w:tbl>
    <w:p>
      <w:pPr>
        <w:spacing w:before="0" w:after="0"/>
      </w:pPr>
      <w:r>
        <w:rPr>
          <w:sz w:val="4"/>
        </w:rPr>
      </w:r>
    </w:p>
    <w:p>
      <w:pPr>
        <w:keepNext/>
        <w:spacing w:before="160" w:after="4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Nachhaltige Transformation der Wirtschaft (Hrsg.: B. Weber/S. von Lingen/H. Hantke).</w:t>
            </w:r>
          </w:p>
        </w:tc>
        <w:tc>
          <w:tcPr>
            <w:tcW w:type="dxa" w:w="2304"/>
            <w:vAlign w:val="top"/>
          </w:tcPr>
          <w:p>
            <w:pPr>
              <w:spacing w:before="0" w:after="0"/>
              <w:jc w:val="right"/>
            </w:pPr>
            <w:r>
              <w:rPr>
                <w:sz w:val="21"/>
              </w:rPr>
              <w:t>02–04/2025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Handbuch Bildung für nachhaltige Entwicklung (Hrsg.: F. Bertschy/M. Rieckmann/M. Singer-Brodowski).</w:t>
            </w:r>
          </w:p>
        </w:tc>
        <w:tc>
          <w:tcPr>
            <w:tcW w:type="dxa" w:w="2304"/>
            <w:vAlign w:val="top"/>
          </w:tcPr>
          <w:p>
            <w:pPr>
              <w:spacing w:before="0" w:after="0"/>
              <w:jc w:val="right"/>
            </w:pPr>
            <w:r>
              <w:rPr>
                <w:sz w:val="21"/>
              </w:rPr>
              <w:t>02–04/2025</w:t>
            </w:r>
          </w:p>
        </w:tc>
      </w:tr>
    </w:tbl>
    <w:p>
      <w:pPr>
        <w:spacing w:before="0" w:after="0"/>
      </w:pPr>
      <w:r>
        <w:rPr>
          <w:sz w:val="4"/>
        </w:rPr>
      </w:r>
    </w:p>
    <w:p>
      <w:pPr>
        <w:keepNext/>
        <w:spacing w:before="160" w:after="4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p>
      <w:pPr>
        <w:keepNext/>
        <w:spacing w:before="160" w:after="4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Vorsitzender (Chair) der DGfE-Kommission Bildung für nachhaltige Entwicklung.</w:t>
            </w:r>
          </w:p>
        </w:tc>
        <w:tc>
          <w:tcPr>
            <w:tcW w:type="dxa" w:w="2304"/>
            <w:vAlign w:val="top"/>
          </w:tcPr>
          <w:p>
            <w:pPr>
              <w:spacing w:before="0" w:after="0"/>
              <w:jc w:val="right"/>
            </w:pPr>
            <w:r>
              <w:rPr>
                <w:sz w:val="21"/>
              </w:rPr>
              <w:t>04/2024–03/2025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Vorstands der Sektion Interkulturelle und International Vergleichende Erziehungswissenschaft (DGfE).</w:t>
            </w:r>
          </w:p>
        </w:tc>
        <w:tc>
          <w:tcPr>
            <w:tcW w:type="dxa" w:w="2304"/>
            <w:vAlign w:val="top"/>
          </w:tcPr>
          <w:p>
            <w:pPr>
              <w:spacing w:before="0" w:after="0"/>
              <w:jc w:val="right"/>
            </w:pPr>
            <w:r>
              <w:rPr>
                <w:sz w:val="21"/>
              </w:rPr>
              <w:t>04/2024–03/2027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Scientific Advisory Board, Projekt ENCOMPASS.</w:t>
            </w:r>
          </w:p>
        </w:tc>
        <w:tc>
          <w:tcPr>
            <w:tcW w:type="dxa" w:w="2304"/>
            <w:vAlign w:val="top"/>
          </w:tcPr>
          <w:p>
            <w:pPr>
              <w:spacing w:before="0" w:after="0"/>
              <w:jc w:val="right"/>
            </w:pPr>
            <w:r>
              <w:rPr>
                <w:sz w:val="21"/>
              </w:rPr>
              <w:t>04/2024–11/2025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1"/>
              </w:rPr>
              <w:t>seit 06/2025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Reviewer, Arbeitsgruppe Wissenschaftliche Integrität (AAU).</w:t>
            </w:r>
          </w:p>
        </w:tc>
        <w:tc>
          <w:tcPr>
            <w:tcW w:type="dxa" w:w="2304"/>
            <w:vAlign w:val="top"/>
          </w:tcPr>
          <w:p>
            <w:pPr>
              <w:spacing w:before="0" w:after="0"/>
              <w:jc w:val="right"/>
            </w:pPr>
            <w:r>
              <w:rPr>
                <w:sz w:val="21"/>
              </w:rPr>
              <w:t>seit 04/2026</w:t>
            </w:r>
          </w:p>
        </w:tc>
      </w:tr>
    </w:tbl>
    <w:p>
      <w:pPr>
        <w:spacing w:before="0" w:after="0"/>
      </w:pPr>
      <w:r>
        <w:rPr>
          <w:sz w:val="4"/>
        </w:rPr>
      </w:r>
    </w:p>
    <w:p>
      <w:pPr>
        <w:keepNext/>
        <w:spacing w:before="160" w:after="4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 – ca. 50.000 € (in Vorbereitung)</w:t>
            </w:r>
          </w:p>
        </w:tc>
        <w:tc>
          <w:tcPr>
            <w:tcW w:type="dxa" w:w="2304"/>
            <w:vAlign w:val="top"/>
          </w:tcPr>
          <w:p>
            <w:pPr>
              <w:spacing w:before="0" w:after="0"/>
              <w:jc w:val="right"/>
            </w:pPr>
            <w:r>
              <w:rPr>
                <w:sz w:val="22"/>
              </w:rPr>
              <w:t>2023</w:t>
            </w:r>
          </w:p>
        </w:tc>
      </w:tr>
    </w:tbl>
    <w:p>
      <w:pPr>
        <w:spacing w:before="0" w:after="0"/>
      </w:pPr>
      <w:r>
        <w:rPr>
          <w:sz w:val="6"/>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1"/>
              </w:rPr>
              <w:t>seit 03/2021</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1"/>
              </w:rPr>
              <w:t>seit 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vom Senat der Goethe-Universität eingesetzten Arbeitsgruppe „Nachhaltigkeit in und an der Goethe-Universität“.</w:t>
            </w:r>
          </w:p>
        </w:tc>
        <w:tc>
          <w:tcPr>
            <w:tcW w:type="dxa" w:w="2304"/>
            <w:vAlign w:val="top"/>
          </w:tcPr>
          <w:p>
            <w:pPr>
              <w:spacing w:before="0" w:after="0"/>
              <w:jc w:val="right"/>
            </w:pPr>
            <w:r>
              <w:rPr>
                <w:sz w:val="21"/>
              </w:rPr>
              <w:t>2020–2023</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1"/>
              </w:rPr>
              <w:t>seit 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1"/>
              </w:rPr>
              <w:t>2017–2019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Mitarbeiter in einer Berufungskommission an der Goethe-Universität Frankfurt.</w:t>
            </w:r>
          </w:p>
        </w:tc>
        <w:tc>
          <w:tcPr>
            <w:tcW w:type="dxa" w:w="2304"/>
            <w:vAlign w:val="top"/>
          </w:tcPr>
          <w:p>
            <w:pPr>
              <w:spacing w:before="0" w:after="0"/>
              <w:jc w:val="right"/>
            </w:pPr>
            <w:r>
              <w:rPr>
                <w:sz w:val="21"/>
              </w:rPr>
              <w:t>2016–2017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Seminarrates am Studienseminar Offenbach.</w:t>
            </w:r>
          </w:p>
        </w:tc>
        <w:tc>
          <w:tcPr>
            <w:tcW w:type="dxa" w:w="2304"/>
            <w:vAlign w:val="top"/>
          </w:tcPr>
          <w:p>
            <w:pPr>
              <w:spacing w:before="0" w:after="0"/>
              <w:jc w:val="right"/>
            </w:pPr>
            <w:r>
              <w:rPr>
                <w:sz w:val="21"/>
              </w:rPr>
              <w:t>2010–2012</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L-Netzes der Universität Frankfurt.</w:t>
            </w:r>
          </w:p>
        </w:tc>
        <w:tc>
          <w:tcPr>
            <w:tcW w:type="dxa" w:w="2304"/>
            <w:vAlign w:val="top"/>
          </w:tcPr>
          <w:p>
            <w:pPr>
              <w:spacing w:before="0" w:after="0"/>
              <w:jc w:val="right"/>
            </w:pPr>
            <w:r>
              <w:rPr>
                <w:sz w:val="21"/>
              </w:rPr>
              <w:t>2007–2009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Fachschaft Erziehungswissenschaften der Universität Frankfurt.</w:t>
            </w:r>
          </w:p>
        </w:tc>
        <w:tc>
          <w:tcPr>
            <w:tcW w:type="dxa" w:w="2304"/>
            <w:vAlign w:val="top"/>
          </w:tcPr>
          <w:p>
            <w:pPr>
              <w:spacing w:before="0" w:after="0"/>
              <w:jc w:val="right"/>
            </w:pPr>
            <w:r>
              <w:rPr>
                <w:sz w:val="21"/>
              </w:rPr>
              <w:t>2003–2005</w:t>
            </w:r>
          </w:p>
        </w:tc>
      </w:tr>
    </w:tbl>
    <w:p>
      <w:pPr>
        <w:spacing w:before="0" w:after="0"/>
      </w:pPr>
      <w:r>
        <w:rPr>
          <w:sz w:val="4"/>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Doktorandenkolloquium Österreichische Gesellschaft für Philosophie, Innsbruck (Österreich).</w:t>
            </w:r>
          </w:p>
        </w:tc>
        <w:tc>
          <w:tcPr>
            <w:tcW w:type="dxa" w:w="2304"/>
            <w:vAlign w:val="top"/>
          </w:tcPr>
          <w:p>
            <w:pPr>
              <w:spacing w:before="0" w:after="0"/>
              <w:jc w:val="right"/>
            </w:pPr>
            <w:r>
              <w:rPr>
                <w:sz w:val="21"/>
              </w:rPr>
              <w:t>2014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Vortragsreise nach Brasilien (DAAD gefördert).</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Austauschdozent PH Bern (Swiss European Mobility Programme), Schweiz, im November 2018.</w:t>
            </w:r>
          </w:p>
        </w:tc>
        <w:tc>
          <w:tcPr>
            <w:tcW w:type="dxa" w:w="2304"/>
            <w:vAlign w:val="top"/>
          </w:tcPr>
          <w:p>
            <w:pPr>
              <w:spacing w:before="0" w:after="0"/>
              <w:jc w:val="right"/>
            </w:pPr>
            <w:r>
              <w:rPr>
                <w:sz w:val="21"/>
              </w:rPr>
              <w:t>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Austauschdozent Alpen-Adria-Universität Klagenfurt (ERASMUS+-Programm), Österreich, im März 2019.</w:t>
            </w:r>
          </w:p>
        </w:tc>
        <w:tc>
          <w:tcPr>
            <w:tcW w:type="dxa" w:w="2304"/>
            <w:vAlign w:val="top"/>
          </w:tcPr>
          <w:p>
            <w:pPr>
              <w:spacing w:before="0" w:after="0"/>
              <w:jc w:val="right"/>
            </w:pPr>
            <w:r>
              <w:rPr>
                <w:sz w:val="21"/>
              </w:rPr>
              <w:t>2019</w:t>
            </w:r>
          </w:p>
        </w:tc>
      </w:tr>
    </w:tbl>
    <w:p>
      <w:pPr>
        <w:spacing w:before="0" w:after="0"/>
      </w:pPr>
      <w:r>
        <w:rPr>
          <w:sz w:val="4"/>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