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spacing w:before="240" w:after="8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Promotion: „Philosophie und Philosophieren im Unterricht. Empirische Erschließung einer widersprüchlichen Praxis.“ Goethe-Universität Frankfurt am Main.</w:t>
            </w:r>
          </w:p>
        </w:tc>
        <w:tc>
          <w:tcPr>
            <w:tcW w:type="dxa" w:w="2880"/>
            <w:vAlign w:val="top"/>
          </w:tcPr>
          <w:p>
            <w:pPr>
              <w:spacing w:before="0" w:after="0"/>
              <w:jc w:val="right"/>
            </w:pPr>
            <w:r>
              <w:rPr>
                <w:sz w:val="22"/>
              </w:rPr>
              <w:t>05/2017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Staatsexamen für das Lehramt an Gymnasien mit den Fächern: Politik und Wirtschaft, Philosophie und Ethik, Goethe-Universität Frankfurt am Main.</w:t>
            </w:r>
          </w:p>
        </w:tc>
        <w:tc>
          <w:tcPr>
            <w:tcW w:type="dxa" w:w="2880"/>
            <w:vAlign w:val="top"/>
          </w:tcPr>
          <w:p>
            <w:pPr>
              <w:spacing w:before="0" w:after="0"/>
              <w:jc w:val="right"/>
            </w:pPr>
            <w:r>
              <w:rPr>
                <w:sz w:val="22"/>
              </w:rPr>
              <w:t>04/2010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Diplom in Pädagogik, Goethe-Universität Frankfurt am Main.</w:t>
            </w:r>
          </w:p>
        </w:tc>
        <w:tc>
          <w:tcPr>
            <w:tcW w:type="dxa" w:w="2880"/>
            <w:vAlign w:val="top"/>
          </w:tcPr>
          <w:p>
            <w:pPr>
              <w:spacing w:before="0" w:after="0"/>
              <w:jc w:val="right"/>
            </w:pPr>
            <w:r>
              <w:rPr>
                <w:sz w:val="22"/>
              </w:rPr>
              <w:t>10/2006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Abitur, Goethe Gymnasium Neu-Isenburg.</w:t>
            </w:r>
          </w:p>
        </w:tc>
        <w:tc>
          <w:tcPr>
            <w:tcW w:type="dxa" w:w="2880"/>
            <w:vAlign w:val="top"/>
          </w:tcPr>
          <w:p>
            <w:pPr>
              <w:spacing w:before="0" w:after="0"/>
              <w:jc w:val="right"/>
            </w:pPr>
            <w:r>
              <w:rPr>
                <w:sz w:val="22"/>
              </w:rPr>
              <w:t>06/1999</w:t>
            </w:r>
          </w:p>
        </w:tc>
      </w:tr>
    </w:tbl>
    <w:p>
      <w:pPr>
        <w:spacing w:before="0" w:after="0"/>
      </w:pPr>
      <w:r>
        <w:rPr>
          <w:sz w:val="12"/>
        </w:rPr>
      </w:r>
    </w:p>
    <w:p>
      <w:pPr>
        <w:spacing w:before="240" w:after="8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880"/>
            <w:vAlign w:val="top"/>
          </w:tcPr>
          <w:p>
            <w:pPr>
              <w:spacing w:before="0" w:after="0"/>
              <w:jc w:val="right"/>
            </w:pPr>
            <w:r>
              <w:rPr>
                <w:sz w:val="22"/>
              </w:rPr>
              <w:t>seit 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880"/>
            <w:vAlign w:val="top"/>
          </w:tcPr>
          <w:p>
            <w:pPr>
              <w:spacing w:before="0" w:after="0"/>
              <w:jc w:val="right"/>
            </w:pPr>
            <w:r>
              <w:rPr>
                <w:sz w:val="22"/>
              </w:rPr>
              <w:t>04/2021–03/2024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880"/>
            <w:vAlign w:val="top"/>
          </w:tcPr>
          <w:p>
            <w:pPr>
              <w:spacing w:before="0" w:after="0"/>
              <w:jc w:val="right"/>
            </w:pPr>
            <w:r>
              <w:rPr>
                <w:sz w:val="22"/>
              </w:rPr>
              <w:t>10/2019–03/2021</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880"/>
            <w:vAlign w:val="top"/>
          </w:tcPr>
          <w:p>
            <w:pPr>
              <w:spacing w:before="0" w:after="0"/>
              <w:jc w:val="right"/>
            </w:pPr>
            <w:r>
              <w:rPr>
                <w:sz w:val="22"/>
              </w:rPr>
              <w:t>10/2013–09/2019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880"/>
            <w:vAlign w:val="top"/>
          </w:tcPr>
          <w:p>
            <w:pPr>
              <w:spacing w:before="0" w:after="0"/>
              <w:jc w:val="right"/>
            </w:pPr>
            <w:r>
              <w:rPr>
                <w:sz w:val="22"/>
              </w:rPr>
              <w:t>2012–2013</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880"/>
            <w:vAlign w:val="top"/>
          </w:tcPr>
          <w:p>
            <w:pPr>
              <w:spacing w:before="0" w:after="0"/>
              <w:jc w:val="right"/>
            </w:pPr>
            <w:r>
              <w:rPr>
                <w:sz w:val="22"/>
              </w:rPr>
              <w:t>2010–2012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880"/>
            <w:vAlign w:val="top"/>
          </w:tcPr>
          <w:p>
            <w:pPr>
              <w:spacing w:before="0" w:after="0"/>
              <w:jc w:val="right"/>
            </w:pPr>
            <w:r>
              <w:rPr>
                <w:sz w:val="22"/>
              </w:rPr>
              <w:t>2009–2010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880"/>
            <w:vAlign w:val="top"/>
          </w:tcPr>
          <w:p>
            <w:pPr>
              <w:spacing w:before="0" w:after="0"/>
              <w:jc w:val="right"/>
            </w:pPr>
            <w:r>
              <w:rPr>
                <w:sz w:val="22"/>
              </w:rPr>
              <w:t>2002–2010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880"/>
            <w:vAlign w:val="top"/>
          </w:tcPr>
          <w:p>
            <w:pPr>
              <w:spacing w:before="0" w:after="0"/>
              <w:jc w:val="right"/>
            </w:pPr>
            <w:r>
              <w:rPr>
                <w:sz w:val="22"/>
              </w:rPr>
              <w:t>1999–2002</w:t>
            </w:r>
          </w:p>
        </w:tc>
      </w:tr>
    </w:tbl>
    <w:p>
      <w:pPr>
        <w:spacing w:before="0" w:after="0"/>
      </w:pPr>
      <w:r>
        <w:rPr>
          <w:sz w:val="12"/>
        </w:rPr>
      </w:r>
    </w:p>
    <w:p>
      <w:pPr>
        <w:spacing w:before="240" w:after="80"/>
        <w:pBdr>
          <w:bottom w:val="single" w:sz="6" w:space="1" w:color="000000"/>
        </w:pBdr>
      </w:pPr>
      <w:r>
        <w:rPr>
          <w:smallCaps/>
          <w:sz w:val="26"/>
        </w:rPr>
        <w:t>Verzeichnis der Lehrveranstaltungen</w:t>
      </w:r>
    </w:p>
    <w:p>
      <w:pPr>
        <w:spacing w:before="120" w:after="40"/>
      </w:pPr>
      <w:r>
        <w:rPr>
          <w:b/>
          <w:i/>
          <w:sz w:val="20"/>
        </w:rPr>
        <w:t>Alpen-Adria-Universität Klagenfurt</w:t>
      </w:r>
    </w:p>
    <w:p>
      <w:pPr>
        <w:pStyle w:val="ListBullet"/>
        <w:spacing w:before="0" w:after="0"/>
        <w:ind w:left="360"/>
      </w:pPr>
      <w:r>
        <w:rPr>
          <w:b w:val="0"/>
          <w:i/>
          <w:sz w:val="20"/>
        </w:rPr>
        <w:t>Kein Lehrangebot im Sommersemester 2024.</w:t>
      </w:r>
    </w:p>
    <w:p>
      <w:pPr>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spacing w:before="120" w:after="40"/>
      </w:pPr>
      <w:r>
        <w:rPr>
          <w:b/>
          <w:i/>
          <w:sz w:val="20"/>
        </w:rPr>
        <w:t>Goethe-Universität Frankfurt am Main</w:t>
      </w:r>
    </w:p>
    <w:p>
      <w:pPr>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Praktikumsbegleitendes Seminar. Universität Flensburg, Philosophisches Seminar.</w:t>
            </w:r>
          </w:p>
        </w:tc>
        <w:tc>
          <w:tcPr>
            <w:tcW w:type="dxa" w:w="2880"/>
            <w:vAlign w:val="top"/>
          </w:tcPr>
          <w:p>
            <w:pPr>
              <w:spacing w:before="0" w:after="0"/>
              <w:jc w:val="right"/>
            </w:pPr>
            <w:r>
              <w:rPr>
                <w:sz w:val="22"/>
              </w:rPr>
              <w:t>Herbstsem. 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Übergang in eine transformierte Gesellschaft in und durch Bildung für nachhaltige Entwicklung in Schule und Unterricht. Universität Flensburg, Institut für Erziehungswissenschaften.</w:t>
            </w:r>
          </w:p>
        </w:tc>
        <w:tc>
          <w:tcPr>
            <w:tcW w:type="dxa" w:w="2880"/>
            <w:vAlign w:val="top"/>
          </w:tcPr>
          <w:p>
            <w:pPr>
              <w:spacing w:before="0" w:after="0"/>
              <w:jc w:val="right"/>
            </w:pPr>
            <w:r>
              <w:rPr>
                <w:sz w:val="22"/>
              </w:rPr>
              <w:t>Frühjahrssem. 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880"/>
            <w:vAlign w:val="top"/>
          </w:tcPr>
          <w:p>
            <w:pPr>
              <w:spacing w:before="0" w:after="0"/>
              <w:jc w:val="right"/>
            </w:pPr>
            <w:r>
              <w:rPr>
                <w:sz w:val="22"/>
              </w:rPr>
              <w:t>Sommersem. 2019</w:t>
            </w:r>
          </w:p>
        </w:tc>
      </w:tr>
    </w:tbl>
    <w:p>
      <w:pPr>
        <w:spacing w:before="0" w:after="0"/>
      </w:pPr>
      <w:r>
        <w:rPr>
          <w:sz w:val="12"/>
        </w:rPr>
      </w:r>
    </w:p>
    <w:p>
      <w:pPr>
        <w:spacing w:before="120" w:after="40"/>
      </w:pPr>
      <w:r>
        <w:rPr>
          <w:b/>
          <w:i/>
          <w:sz w:val="20"/>
        </w:rPr>
        <w:t>Ausblick</w:t>
      </w:r>
    </w:p>
    <w:p>
      <w:pPr>
        <w:pStyle w:val="ListBullet"/>
        <w:spacing w:before="0" w:after="0"/>
        <w:ind w:left="360"/>
      </w:pPr>
      <w:r>
        <w:rPr>
          <w:b w:val="0"/>
          <w:i w:val="0"/>
          <w:sz w:val="20"/>
        </w:rPr>
        <w:t>On educational theory of professionalisation and education for sustainable development – Wintersemester 2023/2024, Universität Marburg.</w:t>
      </w:r>
    </w:p>
    <w:p>
      <w:pPr>
        <w:spacing w:before="240" w:after="8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spacing w:before="240" w:after="8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spacing w:before="240" w:after="8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Kolloquium</w:t>
            </w:r>
          </w:p>
          <w:p>
            <w:pPr>
              <w:spacing w:before="0" w:after="0"/>
            </w:pPr>
            <w:r>
              <w:rPr>
                <w:i/>
                <w:sz w:val="21"/>
              </w:rPr>
              <w:t>Kolloquium der Fachdidaktiken der Goethe-Universität Frankfurt am Main (halbjährlich)</w:t>
            </w:r>
          </w:p>
        </w:tc>
        <w:tc>
          <w:tcPr>
            <w:tcW w:type="dxa" w:w="2880"/>
            <w:vAlign w:val="top"/>
          </w:tcPr>
          <w:p>
            <w:pPr>
              <w:spacing w:before="0" w:after="0"/>
              <w:jc w:val="right"/>
            </w:pPr>
            <w:r>
              <w:rPr>
                <w:sz w:val="22"/>
              </w:rPr>
              <w:t>2013–2015, Frankfurt</w:t>
            </w:r>
          </w:p>
          <w:p>
            <w:pPr>
              <w:spacing w:before="0" w:after="0"/>
              <w:jc w:val="right"/>
            </w:pPr>
            <w:r>
              <w:rPr>
                <w:i/>
                <w:sz w:val="21"/>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Arbeitstagung</w:t>
            </w:r>
          </w:p>
          <w:p>
            <w:pPr>
              <w:spacing w:before="0" w:after="0"/>
            </w:pPr>
            <w:r>
              <w:rPr>
                <w:i/>
                <w:sz w:val="21"/>
              </w:rPr>
              <w:t>1.–5. Arbeitstagung für Doktorand_innen und Habilitand_innen der Philosophiedidaktik (jährlich)</w:t>
            </w:r>
          </w:p>
        </w:tc>
        <w:tc>
          <w:tcPr>
            <w:tcW w:type="dxa" w:w="2880"/>
            <w:vAlign w:val="top"/>
          </w:tcPr>
          <w:p>
            <w:pPr>
              <w:spacing w:before="0" w:after="0"/>
              <w:jc w:val="right"/>
            </w:pPr>
            <w:r>
              <w:rPr>
                <w:sz w:val="22"/>
              </w:rPr>
              <w:t>2014–2018, Frankfurt</w:t>
            </w:r>
          </w:p>
          <w:p>
            <w:pPr>
              <w:spacing w:before="0" w:after="0"/>
              <w:jc w:val="right"/>
            </w:pPr>
            <w:r>
              <w:rPr>
                <w:i/>
                <w:sz w:val="21"/>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w:t>
            </w:r>
          </w:p>
        </w:tc>
        <w:tc>
          <w:tcPr>
            <w:tcW w:type="dxa" w:w="2880"/>
            <w:vAlign w:val="top"/>
          </w:tcPr>
          <w:p>
            <w:pPr>
              <w:spacing w:before="0" w:after="0"/>
              <w:jc w:val="right"/>
            </w:pPr>
            <w:r>
              <w:rPr>
                <w:sz w:val="22"/>
              </w:rPr>
              <w:t>Juni 2016</w:t>
            </w:r>
          </w:p>
          <w:p>
            <w:pPr>
              <w:spacing w:before="0" w:after="0"/>
              <w:jc w:val="right"/>
            </w:pPr>
            <w:r>
              <w:rPr>
                <w:i/>
                <w:sz w:val="21"/>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880"/>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Kommissionstagung Schulforschung u. Didaktik (DGfE)</w:t>
            </w:r>
          </w:p>
          <w:p>
            <w:pPr>
              <w:spacing w:before="0" w:after="0"/>
            </w:pPr>
            <w:r>
              <w:rPr>
                <w:i/>
                <w:sz w:val="21"/>
              </w:rPr>
              <w:t>Transnationale Perspektiven auf Schule und Bildung</w:t>
            </w:r>
          </w:p>
        </w:tc>
        <w:tc>
          <w:tcPr>
            <w:tcW w:type="dxa" w:w="2880"/>
            <w:vAlign w:val="top"/>
          </w:tcPr>
          <w:p>
            <w:pPr>
              <w:spacing w:before="0" w:after="0"/>
              <w:jc w:val="right"/>
            </w:pPr>
            <w:r>
              <w:rPr>
                <w:sz w:val="22"/>
              </w:rPr>
              <w:t>Sept. 2018</w:t>
            </w:r>
          </w:p>
          <w:p>
            <w:pPr>
              <w:spacing w:before="0" w:after="0"/>
              <w:jc w:val="right"/>
            </w:pPr>
            <w:r>
              <w:rPr>
                <w:i/>
                <w:sz w:val="21"/>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Arbeitstagung</w:t>
            </w:r>
          </w:p>
          <w:p>
            <w:pPr>
              <w:spacing w:before="0" w:after="0"/>
            </w:pPr>
            <w:r>
              <w:rPr>
                <w:i/>
                <w:sz w:val="21"/>
              </w:rPr>
              <w:t>11. Tagung der AG Kasuistik in der Lehrer_innenbildung (SIG der DGfE)</w:t>
            </w:r>
          </w:p>
        </w:tc>
        <w:tc>
          <w:tcPr>
            <w:tcW w:type="dxa" w:w="2880"/>
            <w:vAlign w:val="top"/>
          </w:tcPr>
          <w:p>
            <w:pPr>
              <w:spacing w:before="0" w:after="0"/>
              <w:jc w:val="right"/>
            </w:pPr>
            <w:r>
              <w:rPr>
                <w:sz w:val="22"/>
              </w:rPr>
              <w:t>Herbst 2019, Universität Mainz</w:t>
            </w:r>
          </w:p>
          <w:p>
            <w:pPr>
              <w:spacing w:before="0" w:after="0"/>
              <w:jc w:val="right"/>
            </w:pPr>
            <w:r>
              <w:rPr>
                <w:i/>
                <w:sz w:val="21"/>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Vortragsreihe</w:t>
            </w:r>
          </w:p>
          <w:p>
            <w:pPr>
              <w:spacing w:before="0" w:after="0"/>
            </w:pPr>
            <w:r>
              <w:rPr>
                <w:i/>
                <w:sz w:val="21"/>
              </w:rPr>
              <w:t>Planetary Thinking (interdisziplinäre Arbeitsgruppe, Goethe-Universität)</w:t>
            </w:r>
          </w:p>
        </w:tc>
        <w:tc>
          <w:tcPr>
            <w:tcW w:type="dxa" w:w="2880"/>
            <w:vAlign w:val="top"/>
          </w:tcPr>
          <w:p>
            <w:pPr>
              <w:spacing w:before="0" w:after="0"/>
              <w:jc w:val="right"/>
            </w:pPr>
            <w:r>
              <w:rPr>
                <w:sz w:val="22"/>
              </w:rPr>
              <w:t>2021–2022</w:t>
            </w:r>
          </w:p>
          <w:p>
            <w:pPr>
              <w:spacing w:before="0" w:after="0"/>
              <w:jc w:val="right"/>
            </w:pPr>
            <w:r>
              <w:rPr>
                <w:i/>
                <w:sz w:val="21"/>
              </w:rPr>
              <w:t>Mitglied des Organisationsteams, eigener Vortrag (02/2022)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Workshop</w:t>
            </w:r>
          </w:p>
          <w:p>
            <w:pPr>
              <w:spacing w:before="0" w:after="0"/>
            </w:pPr>
            <w:r>
              <w:rPr>
                <w:i/>
                <w:sz w:val="21"/>
              </w:rPr>
              <w:t>Planetary Boundaries – between Facts and Norms (mit Forschungskolleg Humanwissenschaften, Bad Homburg)</w:t>
            </w:r>
          </w:p>
        </w:tc>
        <w:tc>
          <w:tcPr>
            <w:tcW w:type="dxa" w:w="2880"/>
            <w:vAlign w:val="top"/>
          </w:tcPr>
          <w:p>
            <w:pPr>
              <w:spacing w:before="0" w:after="0"/>
              <w:jc w:val="right"/>
            </w:pPr>
            <w:r>
              <w:rPr>
                <w:sz w:val="22"/>
              </w:rPr>
              <w:t>07/2021</w:t>
            </w:r>
          </w:p>
          <w:p>
            <w:pPr>
              <w:spacing w:before="0" w:after="0"/>
              <w:jc w:val="right"/>
            </w:pPr>
            <w:r>
              <w:rPr>
                <w:i/>
                <w:sz w:val="21"/>
              </w:rPr>
              <w:t>Mitglied des Organisationsteams</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w:t>
            </w:r>
          </w:p>
        </w:tc>
        <w:tc>
          <w:tcPr>
            <w:tcW w:type="dxa" w:w="2880"/>
            <w:vAlign w:val="top"/>
          </w:tcPr>
          <w:p>
            <w:pPr>
              <w:spacing w:before="0" w:after="0"/>
              <w:jc w:val="right"/>
            </w:pPr>
            <w:r>
              <w:rPr>
                <w:sz w:val="22"/>
              </w:rPr>
              <w:t>Sept. 2022</w:t>
            </w:r>
          </w:p>
          <w:p>
            <w:pPr>
              <w:spacing w:before="0" w:after="0"/>
              <w:jc w:val="right"/>
            </w:pPr>
            <w:r>
              <w:rPr>
                <w:i/>
                <w:sz w:val="21"/>
              </w:rPr>
              <w:t>Organisation, Durchführung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DGfE-BNE-Kommissionstagung 2023</w:t>
            </w:r>
          </w:p>
          <w:p>
            <w:pPr>
              <w:spacing w:before="0" w:after="0"/>
            </w:pPr>
            <w:r>
              <w:rPr>
                <w:i/>
                <w:sz w:val="21"/>
              </w:rPr>
              <w:t>„Kontroversen und Debatten im Kontext von Bildung für nachhaltige Entwicklung“</w:t>
            </w:r>
          </w:p>
        </w:tc>
        <w:tc>
          <w:tcPr>
            <w:tcW w:type="dxa" w:w="2880"/>
            <w:vAlign w:val="top"/>
          </w:tcPr>
          <w:p>
            <w:pPr>
              <w:spacing w:before="0" w:after="0"/>
              <w:jc w:val="right"/>
            </w:pPr>
            <w:r>
              <w:rPr>
                <w:sz w:val="22"/>
              </w:rPr>
              <w:t>Sept. 2023</w:t>
            </w:r>
          </w:p>
          <w:p>
            <w:pPr>
              <w:spacing w:before="0" w:after="0"/>
              <w:jc w:val="right"/>
            </w:pPr>
            <w:r>
              <w:rPr>
                <w:i/>
                <w:sz w:val="21"/>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w:t>
            </w:r>
          </w:p>
        </w:tc>
        <w:tc>
          <w:tcPr>
            <w:tcW w:type="dxa" w:w="2880"/>
            <w:vAlign w:val="top"/>
          </w:tcPr>
          <w:p>
            <w:pPr>
              <w:spacing w:before="0" w:after="0"/>
              <w:jc w:val="right"/>
            </w:pPr>
            <w:r>
              <w:rPr>
                <w:sz w:val="22"/>
              </w:rPr>
              <w:t>18.–20.09.2024, Bamberg</w:t>
            </w:r>
          </w:p>
          <w:p>
            <w:pPr>
              <w:spacing w:before="0" w:after="0"/>
              <w:jc w:val="right"/>
            </w:pPr>
            <w:r>
              <w:rPr>
                <w:i/>
                <w:sz w:val="21"/>
              </w:rPr>
              <w:t>Mitglied des Organisationsteams (mit J. Costa, A.-K. Holfelder, J. Hufnagl, M. Osterrieder, A. Scheunpflug, M. Singer-Brodowski, D. Taube)</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w:t>
            </w:r>
          </w:p>
        </w:tc>
        <w:tc>
          <w:tcPr>
            <w:tcW w:type="dxa" w:w="2880"/>
            <w:vAlign w:val="top"/>
          </w:tcPr>
          <w:p>
            <w:pPr>
              <w:spacing w:before="0" w:after="0"/>
              <w:jc w:val="right"/>
            </w:pPr>
            <w:r>
              <w:rPr>
                <w:sz w:val="22"/>
              </w:rPr>
              <w:t>14.–15.11.2024, Nürnberg</w:t>
            </w:r>
          </w:p>
          <w:p>
            <w:pPr>
              <w:spacing w:before="0" w:after="0"/>
              <w:jc w:val="right"/>
            </w:pPr>
            <w:r>
              <w:rPr>
                <w:i/>
                <w:sz w:val="21"/>
              </w:rPr>
              <w:t>Mitglied des Organisationsteams (mit J. Costa, M. Singer-Brodowski, Ch. Wulf, U. Stenger, L. Klepacki, N. Grünberger, J. Engel)</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w:t>
            </w:r>
          </w:p>
        </w:tc>
        <w:tc>
          <w:tcPr>
            <w:tcW w:type="dxa" w:w="2880"/>
            <w:vAlign w:val="top"/>
          </w:tcPr>
          <w:p>
            <w:pPr>
              <w:spacing w:before="0" w:after="0"/>
              <w:jc w:val="right"/>
            </w:pPr>
            <w:r>
              <w:rPr>
                <w:sz w:val="22"/>
              </w:rPr>
              <w:t>20.–21.03.2025, Berlin (TU)</w:t>
            </w:r>
          </w:p>
          <w:p>
            <w:pPr>
              <w:spacing w:before="0" w:after="0"/>
              <w:jc w:val="right"/>
            </w:pPr>
            <w:r>
              <w:rPr>
                <w:i/>
                <w:sz w:val="21"/>
              </w:rPr>
              <w:t>Mitglied des Organisationsteams (mit D. Amirpur, N. Bernhard, J. Costa, A. Dogmus, K. Falkenberg, S. Hartong, R. Nikolai, J. Panagiotopoulou, S. Ress, M. Singer-Brodowski)</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w:t>
            </w:r>
          </w:p>
        </w:tc>
        <w:tc>
          <w:tcPr>
            <w:tcW w:type="dxa" w:w="2880"/>
            <w:vAlign w:val="top"/>
          </w:tcPr>
          <w:p>
            <w:pPr>
              <w:spacing w:before="0" w:after="0"/>
              <w:jc w:val="right"/>
            </w:pPr>
            <w:r>
              <w:rPr>
                <w:sz w:val="22"/>
              </w:rPr>
              <w:t>29.09.–01.10.2025, Köln</w:t>
            </w:r>
          </w:p>
          <w:p>
            <w:pPr>
              <w:spacing w:before="0" w:after="0"/>
              <w:jc w:val="right"/>
            </w:pPr>
            <w:r>
              <w:rPr>
                <w:i/>
                <w:sz w:val="21"/>
              </w:rPr>
              <w:t>Mitglied des Organisationsteams (mit M. Singer-Brodowski, U. Stenger, Ch. Wulf, O. Bilgi, J. Dinkelaker, J. Elven, S. Gaubitz, L. Klepacki, T. Klepacki, S. Ress, O. Sanders)</w:t>
            </w:r>
          </w:p>
        </w:tc>
      </w:tr>
    </w:tbl>
    <w:p>
      <w:pPr>
        <w:spacing w:before="0" w:after="0"/>
      </w:pPr>
      <w:r>
        <w:rPr>
          <w:sz w:val="12"/>
        </w:rPr>
      </w:r>
    </w:p>
    <w:p>
      <w:pPr>
        <w:spacing w:before="240" w:after="8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Journal of Decolonising Disciplines.</w:t>
            </w:r>
          </w:p>
        </w:tc>
        <w:tc>
          <w:tcPr>
            <w:tcW w:type="dxa" w:w="2880"/>
            <w:vAlign w:val="top"/>
          </w:tcPr>
          <w:p>
            <w:pPr>
              <w:spacing w:before="0" w:after="0"/>
              <w:jc w:val="right"/>
            </w:pPr>
            <w:r>
              <w:rPr>
                <w:sz w:val="22"/>
              </w:rPr>
              <w:t>2018</w:t>
            </w:r>
          </w:p>
        </w:tc>
      </w:tr>
    </w:tbl>
    <w:p>
      <w:pPr>
        <w:spacing w:before="0" w:after="0"/>
      </w:pPr>
      <w:r>
        <w:rPr>
          <w:sz w:val="12"/>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Journal of Didactics of Philosophy.</w:t>
            </w:r>
          </w:p>
        </w:tc>
        <w:tc>
          <w:tcPr>
            <w:tcW w:type="dxa" w:w="2880"/>
            <w:vAlign w:val="top"/>
          </w:tcPr>
          <w:p>
            <w:pPr>
              <w:spacing w:before="0" w:after="0"/>
              <w:jc w:val="right"/>
            </w:pPr>
            <w:r>
              <w:rPr>
                <w:sz w:val="22"/>
              </w:rPr>
              <w:t>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Educations (openscience.fr/Educations).</w:t>
            </w:r>
          </w:p>
        </w:tc>
        <w:tc>
          <w:tcPr>
            <w:tcW w:type="dxa" w:w="2880"/>
            <w:vAlign w:val="top"/>
          </w:tcPr>
          <w:p>
            <w:pPr>
              <w:spacing w:before="0" w:after="0"/>
              <w:jc w:val="right"/>
            </w:pPr>
            <w:r>
              <w:rPr>
                <w:sz w:val="22"/>
              </w:rPr>
              <w:t>seit 11/2025</w:t>
            </w:r>
          </w:p>
        </w:tc>
      </w:tr>
    </w:tbl>
    <w:p>
      <w:pPr>
        <w:spacing w:before="0" w:after="0"/>
      </w:pPr>
      <w:r>
        <w:rPr>
          <w:sz w:val="12"/>
        </w:rPr>
      </w:r>
    </w:p>
    <w:p>
      <w:pPr>
        <w:spacing w:before="0" w:after="0"/>
      </w:pPr>
      <w:r>
        <w:rPr>
          <w:b/>
          <w:i w:val="0"/>
          <w:sz w:val="20"/>
        </w:rPr>
        <w:t>Editorial-/Herausgebertätigkeit bei Zeitschriften und Schriftenreihen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Editor – datum &amp; diskurs</w:t>
            </w:r>
          </w:p>
          <w:p>
            <w:pPr>
              <w:spacing w:before="0" w:after="0"/>
            </w:pPr>
            <w:r>
              <w:rPr>
                <w:i/>
                <w:sz w:val="21"/>
              </w:rPr>
              <w:t>Zeitschrift für Komplementär-, Sekundär- und Reanalysen im Feld der qualitativen Schul- und Unterrichtsforschung.</w:t>
            </w:r>
          </w:p>
        </w:tc>
        <w:tc>
          <w:tcPr>
            <w:tcW w:type="dxa" w:w="2880"/>
            <w:vAlign w:val="top"/>
          </w:tcPr>
          <w:p>
            <w:pPr>
              <w:spacing w:before="0" w:after="0"/>
              <w:jc w:val="right"/>
            </w:pPr>
            <w:r>
              <w:rPr>
                <w:sz w:val="22"/>
              </w:rPr>
              <w:t>seit 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Editor</w:t>
            </w:r>
          </w:p>
          <w:p>
            <w:pPr>
              <w:spacing w:before="0" w:after="0"/>
            </w:pPr>
            <w:r>
              <w:rPr>
                <w:i/>
                <w:sz w:val="21"/>
              </w:rPr>
              <w:t>Wissenschaftliche Beiträge zur Philosophiedidaktik und Bildungsphilosophie (Scientific Contributions to Philosophy Didactics and Educational Philosophy).</w:t>
            </w:r>
          </w:p>
        </w:tc>
        <w:tc>
          <w:tcPr>
            <w:tcW w:type="dxa" w:w="2880"/>
            <w:vAlign w:val="top"/>
          </w:tcPr>
          <w:p>
            <w:pPr>
              <w:spacing w:before="0" w:after="0"/>
              <w:jc w:val="right"/>
            </w:pPr>
            <w:r>
              <w:rPr>
                <w:sz w:val="22"/>
              </w:rPr>
              <w:t>seit 04/2024</w:t>
            </w:r>
          </w:p>
        </w:tc>
      </w:tr>
    </w:tbl>
    <w:p>
      <w:pPr>
        <w:spacing w:before="0" w:after="0"/>
      </w:pPr>
      <w:r>
        <w:rPr>
          <w:sz w:val="12"/>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The Journal of Environmental Education.</w:t>
            </w:r>
          </w:p>
        </w:tc>
        <w:tc>
          <w:tcPr>
            <w:tcW w:type="dxa" w:w="2880"/>
            <w:vAlign w:val="top"/>
          </w:tcPr>
          <w:p>
            <w:pPr>
              <w:spacing w:before="0" w:after="0"/>
              <w:jc w:val="right"/>
            </w:pPr>
            <w:r>
              <w:rPr>
                <w:sz w:val="22"/>
              </w:rPr>
              <w:t>04–04/2024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Journal for Educational Science.</w:t>
            </w:r>
          </w:p>
        </w:tc>
        <w:tc>
          <w:tcPr>
            <w:tcW w:type="dxa" w:w="2880"/>
            <w:vAlign w:val="top"/>
          </w:tcPr>
          <w:p>
            <w:pPr>
              <w:spacing w:before="0" w:after="0"/>
              <w:jc w:val="right"/>
            </w:pPr>
            <w:r>
              <w:rPr>
                <w:sz w:val="22"/>
              </w:rPr>
              <w:t>11–12/2024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Discover Education.</w:t>
            </w:r>
          </w:p>
        </w:tc>
        <w:tc>
          <w:tcPr>
            <w:tcW w:type="dxa" w:w="2880"/>
            <w:vAlign w:val="top"/>
          </w:tcPr>
          <w:p>
            <w:pPr>
              <w:spacing w:before="0" w:after="0"/>
              <w:jc w:val="right"/>
            </w:pPr>
            <w:r>
              <w:rPr>
                <w:sz w:val="22"/>
              </w:rPr>
              <w:t>04/2025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880"/>
            <w:vAlign w:val="top"/>
          </w:tcPr>
          <w:p>
            <w:pPr>
              <w:spacing w:before="0" w:after="0"/>
              <w:jc w:val="right"/>
            </w:pPr>
            <w:r>
              <w:rPr>
                <w:sz w:val="22"/>
              </w:rPr>
              <w:t>11/2025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Foundations of Science.</w:t>
            </w:r>
          </w:p>
        </w:tc>
        <w:tc>
          <w:tcPr>
            <w:tcW w:type="dxa" w:w="2880"/>
            <w:vAlign w:val="top"/>
          </w:tcPr>
          <w:p>
            <w:pPr>
              <w:spacing w:before="0" w:after="0"/>
              <w:jc w:val="right"/>
            </w:pPr>
            <w:r>
              <w:rPr>
                <w:sz w:val="22"/>
              </w:rPr>
              <w:t>11–12/2025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Discover Sustainability.</w:t>
            </w:r>
          </w:p>
        </w:tc>
        <w:tc>
          <w:tcPr>
            <w:tcW w:type="dxa" w:w="2880"/>
            <w:vAlign w:val="top"/>
          </w:tcPr>
          <w:p>
            <w:pPr>
              <w:spacing w:before="0" w:after="0"/>
              <w:jc w:val="right"/>
            </w:pPr>
            <w:r>
              <w:rPr>
                <w:sz w:val="22"/>
              </w:rPr>
              <w:t>01/2026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Discover Sustainability.</w:t>
            </w:r>
          </w:p>
        </w:tc>
        <w:tc>
          <w:tcPr>
            <w:tcW w:type="dxa" w:w="2880"/>
            <w:vAlign w:val="top"/>
          </w:tcPr>
          <w:p>
            <w:pPr>
              <w:spacing w:before="0" w:after="0"/>
              <w:jc w:val="right"/>
            </w:pPr>
            <w:r>
              <w:rPr>
                <w:sz w:val="22"/>
              </w:rPr>
              <w:t>02–03/2026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Journal of Curriculum Studies.</w:t>
            </w:r>
          </w:p>
        </w:tc>
        <w:tc>
          <w:tcPr>
            <w:tcW w:type="dxa" w:w="2880"/>
            <w:vAlign w:val="top"/>
          </w:tcPr>
          <w:p>
            <w:pPr>
              <w:spacing w:before="0" w:after="0"/>
              <w:jc w:val="right"/>
            </w:pPr>
            <w:r>
              <w:rPr>
                <w:sz w:val="22"/>
              </w:rPr>
              <w:t>02–05/2026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Journal of Didactics of Philosophy.</w:t>
            </w:r>
          </w:p>
        </w:tc>
        <w:tc>
          <w:tcPr>
            <w:tcW w:type="dxa" w:w="2880"/>
            <w:vAlign w:val="top"/>
          </w:tcPr>
          <w:p>
            <w:pPr>
              <w:spacing w:before="0" w:after="0"/>
              <w:jc w:val="right"/>
            </w:pPr>
            <w:r>
              <w:rPr>
                <w:sz w:val="22"/>
              </w:rPr>
              <w:t>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Ludwigsburg Contributions to Media Education (LBzM).</w:t>
            </w:r>
          </w:p>
        </w:tc>
        <w:tc>
          <w:tcPr>
            <w:tcW w:type="dxa" w:w="2880"/>
            <w:vAlign w:val="top"/>
          </w:tcPr>
          <w:p>
            <w:pPr>
              <w:spacing w:before="0" w:after="0"/>
              <w:jc w:val="right"/>
            </w:pPr>
            <w:r>
              <w:rPr>
                <w:sz w:val="22"/>
              </w:rPr>
              <w:t>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Education Sciences.</w:t>
            </w:r>
          </w:p>
        </w:tc>
        <w:tc>
          <w:tcPr>
            <w:tcW w:type="dxa" w:w="2880"/>
            <w:vAlign w:val="top"/>
          </w:tcPr>
          <w:p>
            <w:pPr>
              <w:spacing w:before="0" w:after="0"/>
              <w:jc w:val="right"/>
            </w:pPr>
            <w:r>
              <w:rPr>
                <w:sz w:val="22"/>
              </w:rPr>
              <w:t>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Sustainability.</w:t>
            </w:r>
          </w:p>
        </w:tc>
        <w:tc>
          <w:tcPr>
            <w:tcW w:type="dxa" w:w="2880"/>
            <w:vAlign w:val="top"/>
          </w:tcPr>
          <w:p>
            <w:pPr>
              <w:spacing w:before="0" w:after="0"/>
              <w:jc w:val="right"/>
            </w:pPr>
            <w:r>
              <w:rPr>
                <w:sz w:val="22"/>
              </w:rPr>
              <w:t>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Sustainability, Education Sciences.</w:t>
            </w:r>
          </w:p>
        </w:tc>
        <w:tc>
          <w:tcPr>
            <w:tcW w:type="dxa" w:w="2880"/>
            <w:vAlign w:val="top"/>
          </w:tcPr>
          <w:p>
            <w:pPr>
              <w:spacing w:before="0" w:after="0"/>
              <w:jc w:val="right"/>
            </w:pPr>
            <w:r>
              <w:rPr>
                <w:sz w:val="22"/>
              </w:rPr>
              <w:t>05/2026–04/2027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Frontiers in Sociology.</w:t>
            </w:r>
          </w:p>
        </w:tc>
        <w:tc>
          <w:tcPr>
            <w:tcW w:type="dxa" w:w="2880"/>
            <w:vAlign w:val="top"/>
          </w:tcPr>
          <w:p>
            <w:pPr>
              <w:spacing w:before="0" w:after="0"/>
              <w:jc w:val="right"/>
            </w:pPr>
            <w:r>
              <w:rPr>
                <w:sz w:val="22"/>
              </w:rPr>
              <w:t>05–06/2026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Sustainability.</w:t>
            </w:r>
          </w:p>
        </w:tc>
        <w:tc>
          <w:tcPr>
            <w:tcW w:type="dxa" w:w="2880"/>
            <w:vAlign w:val="top"/>
          </w:tcPr>
          <w:p>
            <w:pPr>
              <w:spacing w:before="0" w:after="0"/>
              <w:jc w:val="right"/>
            </w:pPr>
            <w:r>
              <w:rPr>
                <w:sz w:val="22"/>
              </w:rPr>
              <w:t>06/2026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Revue Education.</w:t>
            </w:r>
          </w:p>
        </w:tc>
        <w:tc>
          <w:tcPr>
            <w:tcW w:type="dxa" w:w="2880"/>
            <w:vAlign w:val="top"/>
          </w:tcPr>
          <w:p>
            <w:pPr>
              <w:spacing w:before="0" w:after="0"/>
              <w:jc w:val="right"/>
            </w:pPr>
            <w:r>
              <w:rPr>
                <w:sz w:val="22"/>
              </w:rPr>
              <w:t>06/2026</w:t>
            </w:r>
          </w:p>
        </w:tc>
      </w:tr>
    </w:tbl>
    <w:p>
      <w:pPr>
        <w:spacing w:before="0" w:after="0"/>
      </w:pPr>
      <w:r>
        <w:rPr>
          <w:sz w:val="12"/>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Nachhaltige Transformation der Wirtschaft (Hrsg.: B. Weber/S. von Lingen/H. Hantke).</w:t>
            </w:r>
          </w:p>
        </w:tc>
        <w:tc>
          <w:tcPr>
            <w:tcW w:type="dxa" w:w="2880"/>
            <w:vAlign w:val="top"/>
          </w:tcPr>
          <w:p>
            <w:pPr>
              <w:spacing w:before="0" w:after="0"/>
              <w:jc w:val="right"/>
            </w:pPr>
            <w:r>
              <w:rPr>
                <w:sz w:val="22"/>
              </w:rPr>
              <w:t>02–04/2025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Handbuch Bildung für nachhaltige Entwicklung (Hrsg.: F. Bertschy/M. Rieckmann/M. Singer-Brodowski).</w:t>
            </w:r>
          </w:p>
        </w:tc>
        <w:tc>
          <w:tcPr>
            <w:tcW w:type="dxa" w:w="2880"/>
            <w:vAlign w:val="top"/>
          </w:tcPr>
          <w:p>
            <w:pPr>
              <w:spacing w:before="0" w:after="0"/>
              <w:jc w:val="right"/>
            </w:pPr>
            <w:r>
              <w:rPr>
                <w:sz w:val="22"/>
              </w:rPr>
              <w:t>02–04/2025</w:t>
            </w:r>
          </w:p>
        </w:tc>
      </w:tr>
    </w:tbl>
    <w:p>
      <w:pPr>
        <w:spacing w:before="0" w:after="0"/>
      </w:pPr>
      <w:r>
        <w:rPr>
          <w:sz w:val="12"/>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Reviewer</w:t>
            </w:r>
          </w:p>
          <w:p>
            <w:pPr>
              <w:spacing w:before="0" w:after="0"/>
            </w:pPr>
            <w:r>
              <w:rPr>
                <w:i/>
                <w:sz w:val="21"/>
              </w:rPr>
              <w:t>DGfE-Kongress 2026 „Brüche“.</w:t>
            </w:r>
          </w:p>
        </w:tc>
        <w:tc>
          <w:tcPr>
            <w:tcW w:type="dxa" w:w="2880"/>
            <w:vAlign w:val="top"/>
          </w:tcPr>
          <w:p>
            <w:pPr>
              <w:spacing w:before="0" w:after="0"/>
              <w:jc w:val="right"/>
            </w:pPr>
            <w:r>
              <w:rPr>
                <w:sz w:val="22"/>
              </w:rPr>
              <w:t>05–07/2025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Moderation</w:t>
            </w:r>
          </w:p>
          <w:p>
            <w:pPr>
              <w:spacing w:before="0" w:after="0"/>
            </w:pPr>
            <w:r>
              <w:rPr>
                <w:i/>
                <w:sz w:val="21"/>
              </w:rPr>
              <w:t>ECER 2025.</w:t>
            </w:r>
          </w:p>
        </w:tc>
        <w:tc>
          <w:tcPr>
            <w:tcW w:type="dxa" w:w="2880"/>
            <w:vAlign w:val="top"/>
          </w:tcPr>
          <w:p>
            <w:pPr>
              <w:spacing w:before="0" w:after="0"/>
              <w:jc w:val="right"/>
            </w:pPr>
            <w:r>
              <w:rPr>
                <w:sz w:val="22"/>
              </w:rPr>
              <w:t>09/2025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Reviewer</w:t>
            </w:r>
          </w:p>
          <w:p>
            <w:pPr>
              <w:spacing w:before="0" w:after="0"/>
            </w:pPr>
            <w:r>
              <w:rPr>
                <w:i/>
                <w:sz w:val="21"/>
              </w:rPr>
              <w:t>DGfE-Kongress 2026 „Brüche“.</w:t>
            </w:r>
          </w:p>
        </w:tc>
        <w:tc>
          <w:tcPr>
            <w:tcW w:type="dxa" w:w="2880"/>
            <w:vAlign w:val="top"/>
          </w:tcPr>
          <w:p>
            <w:pPr>
              <w:spacing w:before="0" w:after="0"/>
              <w:jc w:val="right"/>
            </w:pPr>
            <w:r>
              <w:rPr>
                <w:sz w:val="22"/>
              </w:rPr>
              <w:t>12/2025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Reviewer</w:t>
            </w:r>
          </w:p>
          <w:p>
            <w:pPr>
              <w:spacing w:before="0" w:after="0"/>
            </w:pPr>
            <w:r>
              <w:rPr>
                <w:i/>
                <w:sz w:val="21"/>
              </w:rPr>
              <w:t>ECER.</w:t>
            </w:r>
          </w:p>
        </w:tc>
        <w:tc>
          <w:tcPr>
            <w:tcW w:type="dxa" w:w="2880"/>
            <w:vAlign w:val="top"/>
          </w:tcPr>
          <w:p>
            <w:pPr>
              <w:spacing w:before="0" w:after="0"/>
              <w:jc w:val="right"/>
            </w:pPr>
            <w:r>
              <w:rPr>
                <w:sz w:val="22"/>
              </w:rPr>
              <w:t>01/2026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Reviewer</w:t>
            </w:r>
          </w:p>
          <w:p>
            <w:pPr>
              <w:spacing w:before="0" w:after="0"/>
            </w:pPr>
            <w:r>
              <w:rPr>
                <w:i/>
                <w:sz w:val="21"/>
              </w:rPr>
              <w:t>ÖFEB-Kongress 2026 „Education in Times of Glocalization“.</w:t>
            </w:r>
          </w:p>
        </w:tc>
        <w:tc>
          <w:tcPr>
            <w:tcW w:type="dxa" w:w="2880"/>
            <w:vAlign w:val="top"/>
          </w:tcPr>
          <w:p>
            <w:pPr>
              <w:spacing w:before="0" w:after="0"/>
              <w:jc w:val="right"/>
            </w:pPr>
            <w:r>
              <w:rPr>
                <w:sz w:val="22"/>
              </w:rPr>
              <w:t>03/2026</w:t>
            </w:r>
          </w:p>
        </w:tc>
      </w:tr>
    </w:tbl>
    <w:p>
      <w:pPr>
        <w:spacing w:before="0" w:after="0"/>
      </w:pPr>
      <w:r>
        <w:rPr>
          <w:sz w:val="12"/>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Vorsitzender (Chair) der DGfE-Kommission Bildung für nachhaltige Entwicklung.</w:t>
            </w:r>
          </w:p>
        </w:tc>
        <w:tc>
          <w:tcPr>
            <w:tcW w:type="dxa" w:w="2880"/>
            <w:vAlign w:val="top"/>
          </w:tcPr>
          <w:p>
            <w:pPr>
              <w:spacing w:before="0" w:after="0"/>
              <w:jc w:val="right"/>
            </w:pPr>
            <w:r>
              <w:rPr>
                <w:sz w:val="22"/>
              </w:rPr>
              <w:t>04/2024–03/2025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Mitglied des Vorstands der Sektion Interkulturelle und International Vergleichende Erziehungswissenschaft (DGfE).</w:t>
            </w:r>
          </w:p>
        </w:tc>
        <w:tc>
          <w:tcPr>
            <w:tcW w:type="dxa" w:w="2880"/>
            <w:vAlign w:val="top"/>
          </w:tcPr>
          <w:p>
            <w:pPr>
              <w:spacing w:before="0" w:after="0"/>
              <w:jc w:val="right"/>
            </w:pPr>
            <w:r>
              <w:rPr>
                <w:sz w:val="22"/>
              </w:rPr>
              <w:t>04/2024–03/2027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Mitglied des Scientific Advisory Board, Projekt ENCOMPASS.</w:t>
            </w:r>
          </w:p>
        </w:tc>
        <w:tc>
          <w:tcPr>
            <w:tcW w:type="dxa" w:w="2880"/>
            <w:vAlign w:val="top"/>
          </w:tcPr>
          <w:p>
            <w:pPr>
              <w:spacing w:before="0" w:after="0"/>
              <w:jc w:val="right"/>
            </w:pPr>
            <w:r>
              <w:rPr>
                <w:sz w:val="22"/>
              </w:rPr>
              <w:t>04/2024–11/2025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Mitglied der AG „Gemeinsames Masterstudium der AAU und Universität Leoben zum Thema ‘Circular Engineering‘ / ‘Circular Business‘“.</w:t>
            </w:r>
          </w:p>
        </w:tc>
        <w:tc>
          <w:tcPr>
            <w:tcW w:type="dxa" w:w="2880"/>
            <w:vAlign w:val="top"/>
          </w:tcPr>
          <w:p>
            <w:pPr>
              <w:spacing w:before="0" w:after="0"/>
              <w:jc w:val="right"/>
            </w:pPr>
            <w:r>
              <w:rPr>
                <w:sz w:val="22"/>
              </w:rPr>
              <w:t>seit 06/2025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Reviewer, Arbeitsgruppe Wissenschaftliche Integrität (AAU).</w:t>
            </w:r>
          </w:p>
        </w:tc>
        <w:tc>
          <w:tcPr>
            <w:tcW w:type="dxa" w:w="2880"/>
            <w:vAlign w:val="top"/>
          </w:tcPr>
          <w:p>
            <w:pPr>
              <w:spacing w:before="0" w:after="0"/>
              <w:jc w:val="right"/>
            </w:pPr>
            <w:r>
              <w:rPr>
                <w:sz w:val="22"/>
              </w:rPr>
              <w:t>seit 04/2026</w:t>
            </w:r>
          </w:p>
        </w:tc>
      </w:tr>
    </w:tbl>
    <w:p>
      <w:pPr>
        <w:spacing w:before="0" w:after="0"/>
      </w:pPr>
      <w:r>
        <w:rPr>
          <w:sz w:val="12"/>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spacing w:before="240" w:after="8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880"/>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QSL-Förderfonds Lehre – VFU für Obj. Hermeneutik</w:t>
            </w:r>
          </w:p>
          <w:p>
            <w:pPr>
              <w:spacing w:before="0" w:after="0"/>
            </w:pPr>
            <w:r>
              <w:rPr>
                <w:i/>
                <w:sz w:val="21"/>
              </w:rPr>
              <w:t>Universität Frankfurt</w:t>
            </w:r>
          </w:p>
        </w:tc>
        <w:tc>
          <w:tcPr>
            <w:tcW w:type="dxa" w:w="2880"/>
            <w:vAlign w:val="top"/>
          </w:tcPr>
          <w:p>
            <w:pPr>
              <w:spacing w:before="0" w:after="0"/>
              <w:jc w:val="right"/>
            </w:pPr>
            <w:r>
              <w:rPr>
                <w:sz w:val="22"/>
              </w:rPr>
              <w:t>2017</w:t>
            </w:r>
          </w:p>
          <w:p>
            <w:pPr>
              <w:spacing w:before="0" w:after="0"/>
              <w:jc w:val="right"/>
            </w:pPr>
            <w:r>
              <w:rPr>
                <w:i/>
                <w:sz w:val="21"/>
              </w:rPr>
              <w:t>1.680 €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880"/>
            <w:vAlign w:val="top"/>
          </w:tcPr>
          <w:p>
            <w:pPr>
              <w:spacing w:before="0" w:after="0"/>
              <w:jc w:val="right"/>
            </w:pPr>
            <w:r>
              <w:rPr>
                <w:sz w:val="22"/>
              </w:rPr>
              <w:t>2018</w:t>
            </w:r>
          </w:p>
          <w:p>
            <w:pPr>
              <w:spacing w:before="0" w:after="0"/>
              <w:jc w:val="right"/>
            </w:pPr>
            <w:r>
              <w:rPr>
                <w:i/>
                <w:sz w:val="21"/>
              </w:rPr>
              <w:t>1.680 €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880"/>
            <w:vAlign w:val="top"/>
          </w:tcPr>
          <w:p>
            <w:pPr>
              <w:spacing w:before="0" w:after="0"/>
              <w:jc w:val="right"/>
            </w:pPr>
            <w:r>
              <w:rPr>
                <w:sz w:val="22"/>
              </w:rPr>
              <w:t>2018</w:t>
            </w:r>
          </w:p>
          <w:p>
            <w:pPr>
              <w:spacing w:before="0" w:after="0"/>
              <w:jc w:val="right"/>
            </w:pPr>
            <w:r>
              <w:rPr>
                <w:i/>
                <w:sz w:val="21"/>
              </w:rPr>
              <w:t>4.930 €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880"/>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880"/>
            <w:vAlign w:val="top"/>
          </w:tcPr>
          <w:p>
            <w:pPr>
              <w:spacing w:before="0" w:after="0"/>
              <w:jc w:val="right"/>
            </w:pPr>
            <w:r>
              <w:rPr>
                <w:sz w:val="22"/>
              </w:rPr>
              <w:t>2020</w:t>
            </w:r>
          </w:p>
          <w:p>
            <w:pPr>
              <w:spacing w:before="0" w:after="0"/>
              <w:jc w:val="right"/>
            </w:pPr>
            <w:r>
              <w:rPr>
                <w:i/>
                <w:sz w:val="21"/>
              </w:rPr>
              <w:t>2.844 €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880"/>
            <w:vAlign w:val="top"/>
          </w:tcPr>
          <w:p>
            <w:pPr>
              <w:spacing w:before="0" w:after="0"/>
              <w:jc w:val="right"/>
            </w:pPr>
            <w:r>
              <w:rPr>
                <w:sz w:val="22"/>
              </w:rPr>
              <w:t>2020</w:t>
            </w:r>
          </w:p>
          <w:p>
            <w:pPr>
              <w:spacing w:before="0" w:after="0"/>
              <w:jc w:val="right"/>
            </w:pPr>
            <w:r>
              <w:rPr>
                <w:i/>
                <w:sz w:val="21"/>
              </w:rPr>
              <w:t>4.996 €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Learning Democracy in Europe</w:t>
            </w:r>
          </w:p>
          <w:p>
            <w:pPr>
              <w:spacing w:before="0" w:after="0"/>
            </w:pPr>
            <w:r>
              <w:rPr>
                <w:i/>
                <w:sz w:val="21"/>
              </w:rPr>
              <w:t>BMBF</w:t>
            </w:r>
          </w:p>
        </w:tc>
        <w:tc>
          <w:tcPr>
            <w:tcW w:type="dxa" w:w="2880"/>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„Sustainable Europe by Education of Deliberation“ (SEED)</w:t>
            </w:r>
          </w:p>
          <w:p>
            <w:pPr>
              <w:spacing w:before="0" w:after="0"/>
            </w:pPr>
            <w:r>
              <w:rPr>
                <w:i/>
                <w:sz w:val="21"/>
              </w:rPr>
              <w:t>European Union</w:t>
            </w:r>
          </w:p>
        </w:tc>
        <w:tc>
          <w:tcPr>
            <w:tcW w:type="dxa" w:w="2880"/>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DGfE-BNE-Kommissionstagung 2022</w:t>
            </w:r>
          </w:p>
          <w:p>
            <w:pPr>
              <w:spacing w:before="0" w:after="0"/>
            </w:pPr>
            <w:r>
              <w:rPr>
                <w:i/>
                <w:sz w:val="21"/>
              </w:rPr>
              <w:t>Goethe-Universität GRADE SUSTAIN</w:t>
            </w:r>
          </w:p>
        </w:tc>
        <w:tc>
          <w:tcPr>
            <w:tcW w:type="dxa" w:w="2880"/>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880"/>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880"/>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Goethe Teaches Sustainability</w:t>
            </w:r>
          </w:p>
          <w:p>
            <w:pPr>
              <w:spacing w:before="0" w:after="0"/>
            </w:pPr>
            <w:r>
              <w:rPr>
                <w:i/>
                <w:sz w:val="21"/>
              </w:rPr>
              <w:t>Goethe-Universität</w:t>
            </w:r>
          </w:p>
        </w:tc>
        <w:tc>
          <w:tcPr>
            <w:tcW w:type="dxa" w:w="2880"/>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Zur wissenschaftstheoretisch-reflektierten Systematisierung von BNE</w:t>
            </w:r>
          </w:p>
          <w:p>
            <w:pPr>
              <w:spacing w:before="0" w:after="0"/>
            </w:pPr>
            <w:r>
              <w:rPr>
                <w:i/>
                <w:sz w:val="21"/>
              </w:rPr>
              <w:t>DFG</w:t>
            </w:r>
          </w:p>
        </w:tc>
        <w:tc>
          <w:tcPr>
            <w:tcW w:type="dxa" w:w="2880"/>
            <w:vAlign w:val="top"/>
          </w:tcPr>
          <w:p>
            <w:pPr>
              <w:spacing w:before="0" w:after="0"/>
              <w:jc w:val="right"/>
            </w:pPr>
            <w:r>
              <w:rPr>
                <w:sz w:val="22"/>
              </w:rPr>
              <w:t>2023</w:t>
            </w:r>
          </w:p>
          <w:p>
            <w:pPr>
              <w:spacing w:before="0" w:after="0"/>
              <w:jc w:val="right"/>
            </w:pPr>
            <w:r>
              <w:rPr>
                <w:i/>
                <w:sz w:val="21"/>
              </w:rPr>
              <w:t>ca. 50.000 € (in Vorbereitung)</w:t>
            </w:r>
          </w:p>
        </w:tc>
      </w:tr>
    </w:tbl>
    <w:p>
      <w:pPr>
        <w:spacing w:before="0" w:after="0"/>
      </w:pPr>
      <w:r>
        <w:rPr>
          <w:sz w:val="12"/>
        </w:rPr>
      </w:r>
    </w:p>
    <w:p>
      <w:pPr>
        <w:spacing w:before="240" w:after="8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Vorstandsmitglied der Kommission Bildung für eine nachhaltige Entwicklung in der Deutschen Gesellschaft für Erziehungswissenschaft.</w:t>
            </w:r>
          </w:p>
        </w:tc>
        <w:tc>
          <w:tcPr>
            <w:tcW w:type="dxa" w:w="2880"/>
            <w:vAlign w:val="top"/>
          </w:tcPr>
          <w:p>
            <w:pPr>
              <w:spacing w:before="0" w:after="0"/>
              <w:jc w:val="right"/>
            </w:pPr>
            <w:r>
              <w:rPr>
                <w:sz w:val="22"/>
              </w:rPr>
              <w:t>seit 03/2021</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Mitglied der Arbeitsgruppe „Internationalisierung“ am Fachbereich Erziehungswissenschaften der Goethe-Universität Frankfurt am Main.</w:t>
            </w:r>
          </w:p>
        </w:tc>
        <w:tc>
          <w:tcPr>
            <w:tcW w:type="dxa" w:w="2880"/>
            <w:vAlign w:val="top"/>
          </w:tcPr>
          <w:p>
            <w:pPr>
              <w:spacing w:before="0" w:after="0"/>
              <w:jc w:val="right"/>
            </w:pPr>
            <w:r>
              <w:rPr>
                <w:sz w:val="22"/>
              </w:rPr>
              <w:t>seit 2018</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Mitglied der vom Senat der Goethe-Universität eingesetzten Arbeitsgruppe „Nachhaltigkeit in und an der Goethe-Universität“.</w:t>
            </w:r>
          </w:p>
        </w:tc>
        <w:tc>
          <w:tcPr>
            <w:tcW w:type="dxa" w:w="2880"/>
            <w:vAlign w:val="top"/>
          </w:tcPr>
          <w:p>
            <w:pPr>
              <w:spacing w:before="0" w:after="0"/>
              <w:jc w:val="right"/>
            </w:pPr>
            <w:r>
              <w:rPr>
                <w:sz w:val="22"/>
              </w:rPr>
              <w:t>2020–2023</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Stellvertretender Vorsitzender der Ethikkommission des Fachbereichs Erziehungswissenschaften der Goethe-Universität Frankfurt am Main (04/2020–03/2021 kommissarische Leitung).</w:t>
            </w:r>
          </w:p>
        </w:tc>
        <w:tc>
          <w:tcPr>
            <w:tcW w:type="dxa" w:w="2880"/>
            <w:vAlign w:val="top"/>
          </w:tcPr>
          <w:p>
            <w:pPr>
              <w:spacing w:before="0" w:after="0"/>
              <w:jc w:val="right"/>
            </w:pPr>
            <w:r>
              <w:rPr>
                <w:sz w:val="22"/>
              </w:rPr>
              <w:t>seit 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Gewähltes Mitglied der Mittelbauvertretung am Fachbereich Erziehungswissenschaften der Goethe-Universität Frankfurt am Main.</w:t>
            </w:r>
          </w:p>
        </w:tc>
        <w:tc>
          <w:tcPr>
            <w:tcW w:type="dxa" w:w="2880"/>
            <w:vAlign w:val="top"/>
          </w:tcPr>
          <w:p>
            <w:pPr>
              <w:spacing w:before="0" w:after="0"/>
              <w:jc w:val="right"/>
            </w:pPr>
            <w:r>
              <w:rPr>
                <w:sz w:val="22"/>
              </w:rPr>
              <w:t>2017–2019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Mitarbeiter in einer Berufungskommission an der Goethe-Universität Frankfurt.</w:t>
            </w:r>
          </w:p>
        </w:tc>
        <w:tc>
          <w:tcPr>
            <w:tcW w:type="dxa" w:w="2880"/>
            <w:vAlign w:val="top"/>
          </w:tcPr>
          <w:p>
            <w:pPr>
              <w:spacing w:before="0" w:after="0"/>
              <w:jc w:val="right"/>
            </w:pPr>
            <w:r>
              <w:rPr>
                <w:sz w:val="22"/>
              </w:rPr>
              <w:t>2016–2017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Mitglied des Seminarrates am Studienseminar Offenbach.</w:t>
            </w:r>
          </w:p>
        </w:tc>
        <w:tc>
          <w:tcPr>
            <w:tcW w:type="dxa" w:w="2880"/>
            <w:vAlign w:val="top"/>
          </w:tcPr>
          <w:p>
            <w:pPr>
              <w:spacing w:before="0" w:after="0"/>
              <w:jc w:val="right"/>
            </w:pPr>
            <w:r>
              <w:rPr>
                <w:sz w:val="22"/>
              </w:rPr>
              <w:t>2010–2012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Mitglied des L-Netzes der Universität Frankfurt.</w:t>
            </w:r>
          </w:p>
        </w:tc>
        <w:tc>
          <w:tcPr>
            <w:tcW w:type="dxa" w:w="2880"/>
            <w:vAlign w:val="top"/>
          </w:tcPr>
          <w:p>
            <w:pPr>
              <w:spacing w:before="0" w:after="0"/>
              <w:jc w:val="right"/>
            </w:pPr>
            <w:r>
              <w:rPr>
                <w:sz w:val="22"/>
              </w:rPr>
              <w:t>2007–2009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Mitglied der Fachschaft Erziehungswissenschaften der Universität Frankfurt.</w:t>
            </w:r>
          </w:p>
        </w:tc>
        <w:tc>
          <w:tcPr>
            <w:tcW w:type="dxa" w:w="2880"/>
            <w:vAlign w:val="top"/>
          </w:tcPr>
          <w:p>
            <w:pPr>
              <w:spacing w:before="0" w:after="0"/>
              <w:jc w:val="right"/>
            </w:pPr>
            <w:r>
              <w:rPr>
                <w:sz w:val="22"/>
              </w:rPr>
              <w:t>2003–2005</w:t>
            </w:r>
          </w:p>
        </w:tc>
      </w:tr>
    </w:tbl>
    <w:p>
      <w:pPr>
        <w:spacing w:before="0" w:after="0"/>
      </w:pPr>
      <w:r>
        <w:rPr>
          <w:sz w:val="12"/>
        </w:rPr>
      </w:r>
    </w:p>
    <w:p>
      <w:pPr>
        <w:spacing w:before="240" w:after="8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Doktorandenkolloquium Österreichische Gesellschaft für Philosophie, Innsbruck (Österreich).</w:t>
            </w:r>
          </w:p>
        </w:tc>
        <w:tc>
          <w:tcPr>
            <w:tcW w:type="dxa" w:w="2880"/>
            <w:vAlign w:val="top"/>
          </w:tcPr>
          <w:p>
            <w:pPr>
              <w:spacing w:before="0" w:after="0"/>
              <w:jc w:val="right"/>
            </w:pPr>
            <w:r>
              <w:rPr>
                <w:sz w:val="22"/>
              </w:rPr>
              <w:t>2014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2"/>
              </w:rPr>
              <w:t>Vortragsreise nach Brasilien (DAAD gefördert).</w:t>
            </w:r>
          </w:p>
        </w:tc>
        <w:tc>
          <w:tcPr>
            <w:tcW w:type="dxa" w:w="2880"/>
            <w:vAlign w:val="top"/>
          </w:tcPr>
          <w:p>
            <w:pPr>
              <w:spacing w:before="0" w:after="0"/>
              <w:jc w:val="right"/>
            </w:pPr>
            <w:r>
              <w:rPr>
                <w:sz w:val="22"/>
              </w:rPr>
              <w:t>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Austauschdozent PH Bern (Swiss European Mobility Programme), Schweiz, im November 2018.</w:t>
            </w:r>
          </w:p>
        </w:tc>
        <w:tc>
          <w:tcPr>
            <w:tcW w:type="dxa" w:w="2880"/>
            <w:vAlign w:val="top"/>
          </w:tcPr>
          <w:p>
            <w:pPr>
              <w:spacing w:before="0" w:after="0"/>
              <w:jc w:val="right"/>
            </w:pPr>
            <w:r>
              <w:rPr>
                <w:sz w:val="22"/>
              </w:rPr>
              <w:t>2018</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1"/>
              </w:rPr>
              <w:t>Austauschdozent Alpen-Adria-Universität Klagenfurt (ERASMUS+-Programm), Österreich, im März 2019.</w:t>
            </w:r>
          </w:p>
        </w:tc>
        <w:tc>
          <w:tcPr>
            <w:tcW w:type="dxa" w:w="2880"/>
            <w:vAlign w:val="top"/>
          </w:tcPr>
          <w:p>
            <w:pPr>
              <w:spacing w:before="0" w:after="0"/>
              <w:jc w:val="right"/>
            </w:pPr>
            <w:r>
              <w:rPr>
                <w:sz w:val="22"/>
              </w:rPr>
              <w:t>2019</w:t>
            </w:r>
          </w:p>
        </w:tc>
      </w:tr>
    </w:tbl>
    <w:p>
      <w:pPr>
        <w:spacing w:before="0" w:after="0"/>
      </w:pPr>
      <w:r>
        <w:rPr>
          <w:sz w:val="12"/>
        </w:rPr>
      </w:r>
    </w:p>
    <w:p>
      <w:pPr>
        <w:spacing w:before="240" w:after="8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