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Abitur, Goethe Gymnasium Neu-Isenburg.</w:t>
            </w:r>
          </w:p>
        </w:tc>
        <w:tc>
          <w:tcPr>
            <w:tcW w:type="dxa" w:w="2304"/>
            <w:vAlign w:val="top"/>
          </w:tcPr>
          <w:p>
            <w:pPr>
              <w:spacing w:before="0" w:after="0"/>
              <w:jc w:val="right"/>
            </w:pPr>
            <w:r>
              <w:rPr>
                <w:sz w:val="22"/>
              </w:rPr>
              <w:t>06/1999</w:t>
            </w:r>
          </w:p>
        </w:tc>
      </w:tr>
    </w:tbl>
    <w:p>
      <w:pPr>
        <w:spacing w:before="0" w:after="0"/>
      </w:pPr>
      <w:r>
        <w:rPr>
          <w:sz w:val="6"/>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pStyle w:val="ListBullet"/>
        <w:spacing w:before="0" w:after="0"/>
        <w:ind w:left="360"/>
      </w:pPr>
      <w:r>
        <w:rPr>
          <w:b w:val="0"/>
          <w:i/>
          <w:sz w:val="20"/>
        </w:rPr>
        <w:t>Kein Lehrangebot im Sommersemester 2024.</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20" w:after="40"/>
      </w:pPr>
      <w:r>
        <w:rPr>
          <w:b/>
          <w:i/>
          <w:sz w:val="20"/>
        </w:rPr>
        <w:t>Ausblick</w:t>
      </w:r>
    </w:p>
    <w:p>
      <w:pPr>
        <w:pStyle w:val="ListBullet"/>
        <w:spacing w:before="0" w:after="0"/>
        <w:ind w:left="360"/>
      </w:pPr>
      <w:r>
        <w:rPr>
          <w:b w:val="0"/>
          <w:i w:val="0"/>
          <w:sz w:val="20"/>
        </w:rPr>
        <w:t>On educational theory of professionalisation and education for sustainable development – Wintersemester 2023/2024, Universität Marburg.</w:t>
      </w:r>
    </w:p>
    <w:p>
      <w:pPr>
        <w:keepNext/>
        <w:spacing w:before="160" w:after="6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Decolonising Disciplines.</w:t>
            </w:r>
          </w:p>
        </w:tc>
        <w:tc>
          <w:tcPr>
            <w:tcW w:type="dxa" w:w="2304"/>
            <w:vAlign w:val="top"/>
          </w:tcPr>
          <w:p>
            <w:pPr>
              <w:spacing w:before="0" w:after="0"/>
              <w:jc w:val="right"/>
            </w:pPr>
            <w:r>
              <w:rPr>
                <w:sz w:val="22"/>
              </w:rPr>
              <w:t>2018</w:t>
            </w:r>
          </w:p>
        </w:tc>
      </w:tr>
    </w:tbl>
    <w:p>
      <w:pPr>
        <w:spacing w:before="0" w:after="0"/>
      </w:pPr>
      <w:r>
        <w:rPr>
          <w:sz w:val="6"/>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Didactics of Philosophy.</w:t>
            </w:r>
          </w:p>
        </w:tc>
        <w:tc>
          <w:tcPr>
            <w:tcW w:type="dxa" w:w="2304"/>
            <w:vAlign w:val="top"/>
          </w:tcPr>
          <w:p>
            <w:pPr>
              <w:spacing w:before="0" w:after="0"/>
              <w:jc w:val="right"/>
            </w:pPr>
            <w:r>
              <w:rPr>
                <w:sz w:val="22"/>
              </w:rPr>
              <w:t>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Educations (openscience.fr/Educations).</w:t>
            </w:r>
          </w:p>
        </w:tc>
        <w:tc>
          <w:tcPr>
            <w:tcW w:type="dxa" w:w="2304"/>
            <w:vAlign w:val="top"/>
          </w:tcPr>
          <w:p>
            <w:pPr>
              <w:spacing w:before="0" w:after="0"/>
              <w:jc w:val="right"/>
            </w:pPr>
            <w:r>
              <w:rPr>
                <w:sz w:val="22"/>
              </w:rPr>
              <w:t>seit 11/2025</w:t>
            </w:r>
          </w:p>
        </w:tc>
      </w:tr>
    </w:tbl>
    <w:p>
      <w:pPr>
        <w:spacing w:before="0" w:after="0"/>
      </w:pPr>
      <w:r>
        <w:rPr>
          <w:sz w:val="6"/>
        </w:rPr>
      </w:r>
    </w:p>
    <w:p>
      <w:pPr>
        <w:spacing w:before="0" w:after="0"/>
      </w:pPr>
      <w:r>
        <w:rPr>
          <w:b/>
          <w:i w:val="0"/>
          <w:sz w:val="20"/>
        </w:rPr>
        <w:t>Editorial-/Herausgebertätigkeit bei Zeitschriften und Schriftenreihen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Editor – datum &amp; diskurs</w:t>
            </w:r>
          </w:p>
          <w:p>
            <w:pPr>
              <w:spacing w:before="0" w:after="0"/>
            </w:pPr>
            <w:r>
              <w:rPr>
                <w:i/>
                <w:sz w:val="21"/>
              </w:rPr>
              <w:t>Zeitschrift für Komplementär-, Sekundär- und Reanalysen im Feld der qualitativen Schul- und Unterrichtsforschung.</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Editor</w:t>
            </w:r>
          </w:p>
          <w:p>
            <w:pPr>
              <w:spacing w:before="0" w:after="0"/>
            </w:pPr>
            <w:r>
              <w:rPr>
                <w:i/>
                <w:sz w:val="21"/>
              </w:rPr>
              <w:t>Wissenschaftliche Beiträge zur Philosophiedidaktik und Bildungsphilosophie (Scientific Contributions to Philosophy Didactics and Educational Philosophy).</w:t>
            </w:r>
          </w:p>
        </w:tc>
        <w:tc>
          <w:tcPr>
            <w:tcW w:type="dxa" w:w="2304"/>
            <w:vAlign w:val="top"/>
          </w:tcPr>
          <w:p>
            <w:pPr>
              <w:spacing w:before="0" w:after="0"/>
              <w:jc w:val="right"/>
            </w:pPr>
            <w:r>
              <w:rPr>
                <w:sz w:val="22"/>
              </w:rPr>
              <w:t>seit 04/2024</w:t>
            </w:r>
          </w:p>
        </w:tc>
      </w:tr>
    </w:tbl>
    <w:p>
      <w:pPr>
        <w:spacing w:before="0" w:after="0"/>
      </w:pPr>
      <w:r>
        <w:rPr>
          <w:sz w:val="6"/>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The Journal of Environmental Education.</w:t>
            </w:r>
          </w:p>
        </w:tc>
        <w:tc>
          <w:tcPr>
            <w:tcW w:type="dxa" w:w="2304"/>
            <w:vAlign w:val="top"/>
          </w:tcPr>
          <w:p>
            <w:pPr>
              <w:spacing w:before="0" w:after="0"/>
              <w:jc w:val="right"/>
            </w:pPr>
            <w:r>
              <w:rPr>
                <w:sz w:val="22"/>
              </w:rPr>
              <w:t>04–04/2024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for Educational Science.</w:t>
            </w:r>
          </w:p>
        </w:tc>
        <w:tc>
          <w:tcPr>
            <w:tcW w:type="dxa" w:w="2304"/>
            <w:vAlign w:val="top"/>
          </w:tcPr>
          <w:p>
            <w:pPr>
              <w:spacing w:before="0" w:after="0"/>
              <w:jc w:val="right"/>
            </w:pPr>
            <w:r>
              <w:rPr>
                <w:sz w:val="22"/>
              </w:rPr>
              <w:t>11–12/2024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Education.</w:t>
            </w:r>
          </w:p>
        </w:tc>
        <w:tc>
          <w:tcPr>
            <w:tcW w:type="dxa" w:w="2304"/>
            <w:vAlign w:val="top"/>
          </w:tcPr>
          <w:p>
            <w:pPr>
              <w:spacing w:before="0" w:after="0"/>
              <w:jc w:val="right"/>
            </w:pPr>
            <w:r>
              <w:rPr>
                <w:sz w:val="22"/>
              </w:rPr>
              <w:t>04/2025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Foundations of Science.</w:t>
            </w:r>
          </w:p>
        </w:tc>
        <w:tc>
          <w:tcPr>
            <w:tcW w:type="dxa" w:w="2304"/>
            <w:vAlign w:val="top"/>
          </w:tcPr>
          <w:p>
            <w:pPr>
              <w:spacing w:before="0" w:after="0"/>
              <w:jc w:val="right"/>
            </w:pPr>
            <w:r>
              <w:rPr>
                <w:sz w:val="22"/>
              </w:rPr>
              <w:t>11–12/2025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Sustainability.</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Sustainability.</w:t>
            </w:r>
          </w:p>
        </w:tc>
        <w:tc>
          <w:tcPr>
            <w:tcW w:type="dxa" w:w="2304"/>
            <w:vAlign w:val="top"/>
          </w:tcPr>
          <w:p>
            <w:pPr>
              <w:spacing w:before="0" w:after="0"/>
              <w:jc w:val="right"/>
            </w:pPr>
            <w:r>
              <w:rPr>
                <w:sz w:val="22"/>
              </w:rPr>
              <w:t>02–03/2026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Curriculum Studies.</w:t>
            </w:r>
          </w:p>
        </w:tc>
        <w:tc>
          <w:tcPr>
            <w:tcW w:type="dxa" w:w="2304"/>
            <w:vAlign w:val="top"/>
          </w:tcPr>
          <w:p>
            <w:pPr>
              <w:spacing w:before="0" w:after="0"/>
              <w:jc w:val="right"/>
            </w:pPr>
            <w:r>
              <w:rPr>
                <w:sz w:val="22"/>
              </w:rPr>
              <w:t>02–05/2026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Didactics of Philosophy.</w:t>
            </w:r>
          </w:p>
        </w:tc>
        <w:tc>
          <w:tcPr>
            <w:tcW w:type="dxa" w:w="2304"/>
            <w:vAlign w:val="top"/>
          </w:tcPr>
          <w:p>
            <w:pPr>
              <w:spacing w:before="0" w:after="0"/>
              <w:jc w:val="right"/>
            </w:pPr>
            <w:r>
              <w:rPr>
                <w:sz w:val="22"/>
              </w:rPr>
              <w:t>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Education Sciences.</w:t>
            </w:r>
          </w:p>
        </w:tc>
        <w:tc>
          <w:tcPr>
            <w:tcW w:type="dxa" w:w="2304"/>
            <w:vAlign w:val="top"/>
          </w:tcPr>
          <w:p>
            <w:pPr>
              <w:spacing w:before="0" w:after="0"/>
              <w:jc w:val="right"/>
            </w:pPr>
            <w:r>
              <w:rPr>
                <w:sz w:val="22"/>
              </w:rPr>
              <w:t>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w:t>
            </w:r>
          </w:p>
        </w:tc>
        <w:tc>
          <w:tcPr>
            <w:tcW w:type="dxa" w:w="2304"/>
            <w:vAlign w:val="top"/>
          </w:tcPr>
          <w:p>
            <w:pPr>
              <w:spacing w:before="0" w:after="0"/>
              <w:jc w:val="right"/>
            </w:pPr>
            <w:r>
              <w:rPr>
                <w:sz w:val="22"/>
              </w:rPr>
              <w:t>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 Education Sciences.</w:t>
            </w:r>
          </w:p>
        </w:tc>
        <w:tc>
          <w:tcPr>
            <w:tcW w:type="dxa" w:w="2304"/>
            <w:vAlign w:val="top"/>
          </w:tcPr>
          <w:p>
            <w:pPr>
              <w:spacing w:before="0" w:after="0"/>
              <w:jc w:val="right"/>
            </w:pPr>
            <w:r>
              <w:rPr>
                <w:sz w:val="22"/>
              </w:rPr>
              <w:t>05/2026–04/2027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Frontiers in Sociology.</w:t>
            </w:r>
          </w:p>
        </w:tc>
        <w:tc>
          <w:tcPr>
            <w:tcW w:type="dxa" w:w="2304"/>
            <w:vAlign w:val="top"/>
          </w:tcPr>
          <w:p>
            <w:pPr>
              <w:spacing w:before="0" w:after="0"/>
              <w:jc w:val="right"/>
            </w:pPr>
            <w:r>
              <w:rPr>
                <w:sz w:val="22"/>
              </w:rPr>
              <w:t>05–06/2026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w:t>
            </w:r>
          </w:p>
        </w:tc>
        <w:tc>
          <w:tcPr>
            <w:tcW w:type="dxa" w:w="2304"/>
            <w:vAlign w:val="top"/>
          </w:tcPr>
          <w:p>
            <w:pPr>
              <w:spacing w:before="0" w:after="0"/>
              <w:jc w:val="right"/>
            </w:pPr>
            <w:r>
              <w:rPr>
                <w:sz w:val="22"/>
              </w:rPr>
              <w:t>06/2026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Revue Education.</w:t>
            </w:r>
          </w:p>
        </w:tc>
        <w:tc>
          <w:tcPr>
            <w:tcW w:type="dxa" w:w="2304"/>
            <w:vAlign w:val="top"/>
          </w:tcPr>
          <w:p>
            <w:pPr>
              <w:spacing w:before="0" w:after="0"/>
              <w:jc w:val="right"/>
            </w:pPr>
            <w:r>
              <w:rPr>
                <w:sz w:val="22"/>
              </w:rPr>
              <w:t>06/2026</w:t>
            </w:r>
          </w:p>
        </w:tc>
      </w:tr>
    </w:tbl>
    <w:p>
      <w:pPr>
        <w:spacing w:before="0" w:after="0"/>
      </w:pPr>
      <w:r>
        <w:rPr>
          <w:sz w:val="6"/>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Mitglied des L-Netzes der Universität Frankfurt.</w:t>
            </w:r>
          </w:p>
        </w:tc>
        <w:tc>
          <w:tcPr>
            <w:tcW w:type="dxa" w:w="2304"/>
            <w:vAlign w:val="top"/>
          </w:tcPr>
          <w:p>
            <w:pPr>
              <w:spacing w:before="0" w:after="0"/>
              <w:jc w:val="right"/>
            </w:pPr>
            <w:r>
              <w:rPr>
                <w:sz w:val="22"/>
              </w:rPr>
              <w:t>2007–2009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Vortragsreise nach Brasilien (DAAD gefördert).</w:t>
            </w:r>
          </w:p>
        </w:tc>
        <w:tc>
          <w:tcPr>
            <w:tcW w:type="dxa" w:w="2304"/>
            <w:vAlign w:val="top"/>
          </w:tcPr>
          <w:p>
            <w:pPr>
              <w:spacing w:before="0" w:after="0"/>
              <w:jc w:val="right"/>
            </w:pPr>
            <w:r>
              <w:rPr>
                <w:sz w:val="22"/>
              </w:rPr>
              <w:t>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