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3904B" w14:textId="77777777" w:rsidR="006777F0" w:rsidRPr="004C7399" w:rsidRDefault="00000000" w:rsidP="004C7399">
      <w:pPr>
        <w:spacing w:after="0"/>
        <w:jc w:val="center"/>
        <w:rPr>
          <w:sz w:val="28"/>
          <w:szCs w:val="28"/>
        </w:rPr>
      </w:pPr>
      <w:r w:rsidRPr="004C7399">
        <w:rPr>
          <w:b/>
          <w:color w:val="2F3B52"/>
          <w:sz w:val="28"/>
          <w:szCs w:val="28"/>
        </w:rPr>
        <w:t>Hair Care Assortment Optimization Platform</w:t>
      </w:r>
    </w:p>
    <w:p w14:paraId="50936F54" w14:textId="77777777" w:rsidR="006777F0" w:rsidRPr="004C7399" w:rsidRDefault="00000000">
      <w:pPr>
        <w:spacing w:after="400"/>
        <w:jc w:val="center"/>
        <w:rPr>
          <w:sz w:val="24"/>
          <w:szCs w:val="24"/>
        </w:rPr>
      </w:pPr>
      <w:r w:rsidRPr="004C7399">
        <w:rPr>
          <w:color w:val="3E68B0"/>
          <w:sz w:val="24"/>
          <w:szCs w:val="24"/>
        </w:rPr>
        <w:t>Technical Architecture &amp; Data Flow — Executive Overview</w:t>
      </w:r>
    </w:p>
    <w:p w14:paraId="4322BA83" w14:textId="77777777" w:rsidR="006777F0" w:rsidRPr="004C7399" w:rsidRDefault="00000000">
      <w:pPr>
        <w:jc w:val="center"/>
        <w:rPr>
          <w:sz w:val="24"/>
          <w:szCs w:val="24"/>
        </w:rPr>
      </w:pPr>
      <w:r w:rsidRPr="004C7399">
        <w:rPr>
          <w:i/>
          <w:color w:val="5A6472"/>
          <w:sz w:val="24"/>
          <w:szCs w:val="24"/>
        </w:rPr>
        <w:t>From raw retail data to AI-powered assortment decisions</w:t>
      </w:r>
    </w:p>
    <w:p w14:paraId="265A1AFE" w14:textId="77777777" w:rsidR="006777F0" w:rsidRDefault="00000000">
      <w:r>
        <w:br w:type="page"/>
      </w:r>
    </w:p>
    <w:p w14:paraId="69CA4F39" w14:textId="77777777" w:rsidR="006777F0" w:rsidRPr="004C7399" w:rsidRDefault="00000000">
      <w:pPr>
        <w:pStyle w:val="Heading1"/>
        <w:rPr>
          <w:rFonts w:ascii="Aptos" w:hAnsi="Aptos"/>
          <w:sz w:val="18"/>
          <w:szCs w:val="18"/>
        </w:rPr>
      </w:pPr>
      <w:r w:rsidRPr="004C7399">
        <w:rPr>
          <w:rFonts w:ascii="Aptos" w:hAnsi="Aptos"/>
          <w:color w:val="2F3B52"/>
          <w:sz w:val="18"/>
          <w:szCs w:val="18"/>
        </w:rPr>
        <w:lastRenderedPageBreak/>
        <w:t>1. Purpose of This Document</w:t>
      </w:r>
    </w:p>
    <w:p w14:paraId="114E2C74" w14:textId="77777777" w:rsidR="006777F0" w:rsidRPr="004C7399" w:rsidRDefault="00000000">
      <w:pPr>
        <w:spacing w:after="160"/>
        <w:rPr>
          <w:rFonts w:ascii="Aptos" w:hAnsi="Aptos"/>
          <w:sz w:val="18"/>
          <w:szCs w:val="18"/>
        </w:rPr>
      </w:pPr>
      <w:r w:rsidRPr="004C7399">
        <w:rPr>
          <w:rFonts w:ascii="Aptos" w:hAnsi="Aptos"/>
          <w:sz w:val="18"/>
          <w:szCs w:val="18"/>
        </w:rPr>
        <w:t>This document summarizes the technical architecture of the AI-Led Category Growth &amp; Transformation Platform (Hair Care MVP) for a leadership audience. It explains, at a high level, how raw retail data is transformed into assortment decisions — Keep, Expand, Watch, or Delist — along with demand forecasts and AI-generated category insights.</w:t>
      </w:r>
    </w:p>
    <w:p w14:paraId="7F0C2372" w14:textId="77777777" w:rsidR="006777F0" w:rsidRPr="004C7399" w:rsidRDefault="00000000">
      <w:pPr>
        <w:spacing w:after="160"/>
        <w:rPr>
          <w:rFonts w:ascii="Aptos" w:hAnsi="Aptos"/>
          <w:sz w:val="18"/>
          <w:szCs w:val="18"/>
        </w:rPr>
      </w:pPr>
      <w:r w:rsidRPr="004C7399">
        <w:rPr>
          <w:rFonts w:ascii="Aptos" w:hAnsi="Aptos"/>
          <w:sz w:val="18"/>
          <w:szCs w:val="18"/>
        </w:rPr>
        <w:t>The platform is built around a simple idea: connect existing retail data sources to a set of proven analytics and machine learning techniques, add a layer of AI-generated narrative and alerts on top, and deliver all of it through a single, easy-to-use dashboard for category managers.</w:t>
      </w:r>
    </w:p>
    <w:p w14:paraId="0FB8CD4B" w14:textId="77777777" w:rsidR="006777F0" w:rsidRPr="004C7399" w:rsidRDefault="00000000">
      <w:pPr>
        <w:pStyle w:val="Heading1"/>
        <w:rPr>
          <w:rFonts w:ascii="Aptos" w:hAnsi="Aptos"/>
          <w:sz w:val="18"/>
          <w:szCs w:val="18"/>
        </w:rPr>
      </w:pPr>
      <w:r w:rsidRPr="004C7399">
        <w:rPr>
          <w:rFonts w:ascii="Aptos" w:hAnsi="Aptos"/>
          <w:color w:val="2F3B52"/>
          <w:sz w:val="18"/>
          <w:szCs w:val="18"/>
        </w:rPr>
        <w:t>2. End-to-End Technical Flow</w:t>
      </w:r>
    </w:p>
    <w:p w14:paraId="3FA879E8" w14:textId="77777777" w:rsidR="006777F0" w:rsidRPr="004C7399" w:rsidRDefault="00000000">
      <w:pPr>
        <w:spacing w:after="160"/>
        <w:rPr>
          <w:rFonts w:ascii="Aptos" w:hAnsi="Aptos"/>
          <w:sz w:val="18"/>
          <w:szCs w:val="18"/>
        </w:rPr>
      </w:pPr>
      <w:r w:rsidRPr="004C7399">
        <w:rPr>
          <w:rFonts w:ascii="Aptos" w:hAnsi="Aptos"/>
          <w:sz w:val="18"/>
          <w:szCs w:val="18"/>
        </w:rPr>
        <w:t>The diagram below shows the seven layers of the platform, from the underlying database through to the dashboard used by category managers and business leaders.</w:t>
      </w:r>
    </w:p>
    <w:p w14:paraId="3D5993F2" w14:textId="77777777" w:rsidR="006777F0" w:rsidRDefault="00000000">
      <w:pPr>
        <w:jc w:val="center"/>
      </w:pPr>
      <w:r>
        <w:rPr>
          <w:noProof/>
        </w:rPr>
        <w:drawing>
          <wp:inline distT="0" distB="0" distL="0" distR="0" wp14:anchorId="355BB0A2" wp14:editId="19941424">
            <wp:extent cx="5760720" cy="49329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7C83" w14:textId="77777777" w:rsidR="006777F0" w:rsidRDefault="00000000">
      <w:pPr>
        <w:jc w:val="center"/>
        <w:rPr>
          <w:rFonts w:ascii="Aptos" w:hAnsi="Aptos"/>
          <w:iCs/>
          <w:color w:val="5A6472"/>
          <w:sz w:val="19"/>
        </w:rPr>
      </w:pPr>
      <w:r w:rsidRPr="004C7399">
        <w:rPr>
          <w:rFonts w:ascii="Aptos" w:hAnsi="Aptos"/>
          <w:iCs/>
          <w:color w:val="5A6472"/>
          <w:sz w:val="19"/>
        </w:rPr>
        <w:t>Figure 1: Platform data flow, from raw data to business decision</w:t>
      </w:r>
    </w:p>
    <w:p w14:paraId="4E9CA268" w14:textId="77777777" w:rsidR="0071724C" w:rsidRDefault="0071724C">
      <w:pPr>
        <w:jc w:val="center"/>
        <w:rPr>
          <w:rFonts w:ascii="Aptos" w:hAnsi="Aptos"/>
          <w:iCs/>
          <w:color w:val="5A6472"/>
          <w:sz w:val="19"/>
        </w:rPr>
      </w:pPr>
    </w:p>
    <w:p w14:paraId="6AF7C2DC" w14:textId="6D42C1D3" w:rsidR="0071724C" w:rsidRPr="004C7399" w:rsidRDefault="0071724C">
      <w:pPr>
        <w:jc w:val="center"/>
        <w:rPr>
          <w:rFonts w:ascii="Aptos" w:hAnsi="Aptos"/>
          <w:iCs/>
        </w:rPr>
      </w:pPr>
      <w:r>
        <w:rPr>
          <w:rFonts w:ascii="Aptos" w:hAnsi="Aptos"/>
          <w:iCs/>
          <w:noProof/>
        </w:rPr>
        <w:lastRenderedPageBreak/>
        <w:drawing>
          <wp:inline distT="0" distB="0" distL="0" distR="0" wp14:anchorId="3512B14A" wp14:editId="3845B5A1">
            <wp:extent cx="5348975" cy="3404028"/>
            <wp:effectExtent l="0" t="0" r="4445" b="6350"/>
            <wp:docPr id="25023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36378" name="Picture 2502363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4130" cy="34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8003" w14:textId="77777777" w:rsidR="006777F0" w:rsidRPr="004C7399" w:rsidRDefault="00000000">
      <w:pPr>
        <w:pStyle w:val="Heading1"/>
        <w:rPr>
          <w:rFonts w:ascii="Aptos" w:hAnsi="Aptos"/>
          <w:sz w:val="18"/>
          <w:szCs w:val="18"/>
        </w:rPr>
      </w:pPr>
      <w:r w:rsidRPr="004C7399">
        <w:rPr>
          <w:rFonts w:ascii="Aptos" w:hAnsi="Aptos"/>
          <w:color w:val="2F3B52"/>
          <w:sz w:val="18"/>
          <w:szCs w:val="18"/>
        </w:rPr>
        <w:t>3. What Happens at Each Layer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1"/>
        <w:gridCol w:w="7795"/>
      </w:tblGrid>
      <w:tr w:rsidR="006777F0" w:rsidRPr="004C7399" w14:paraId="6BCACCAC" w14:textId="77777777" w:rsidTr="004C7399">
        <w:trPr>
          <w:jc w:val="center"/>
        </w:trPr>
        <w:tc>
          <w:tcPr>
            <w:tcW w:w="1462" w:type="pct"/>
            <w:shd w:val="clear" w:color="auto" w:fill="D6E3F7"/>
          </w:tcPr>
          <w:p w14:paraId="5EB1C56F" w14:textId="77777777" w:rsidR="006777F0" w:rsidRPr="004C7399" w:rsidRDefault="00000000">
            <w:pPr>
              <w:spacing w:before="80" w:after="80"/>
              <w:rPr>
                <w:rFonts w:ascii="Aptos" w:hAnsi="Aptos"/>
                <w:sz w:val="18"/>
                <w:szCs w:val="18"/>
              </w:rPr>
            </w:pPr>
            <w:r w:rsidRPr="004C7399">
              <w:rPr>
                <w:rFonts w:ascii="Aptos" w:hAnsi="Aptos"/>
                <w:b/>
                <w:color w:val="2F3B52"/>
                <w:sz w:val="18"/>
                <w:szCs w:val="18"/>
              </w:rPr>
              <w:t>1. Data Layer</w:t>
            </w:r>
          </w:p>
        </w:tc>
        <w:tc>
          <w:tcPr>
            <w:tcW w:w="3538" w:type="pct"/>
            <w:shd w:val="clear" w:color="auto" w:fill="FFFFFF"/>
          </w:tcPr>
          <w:p w14:paraId="64F02510" w14:textId="77777777" w:rsidR="006777F0" w:rsidRPr="004C7399" w:rsidRDefault="00000000">
            <w:pPr>
              <w:spacing w:before="80" w:after="80"/>
              <w:rPr>
                <w:rFonts w:ascii="Aptos" w:hAnsi="Aptos"/>
                <w:sz w:val="18"/>
                <w:szCs w:val="18"/>
              </w:rPr>
            </w:pPr>
            <w:r w:rsidRPr="004C7399">
              <w:rPr>
                <w:rFonts w:ascii="Aptos" w:hAnsi="Aptos"/>
                <w:sz w:val="18"/>
                <w:szCs w:val="18"/>
              </w:rPr>
              <w:t>All source data — sales transactions, inventory, market data, customer reviews, and SKU/store reference data — is centralized in a single PostgreSQL database. This is the single source of truth for the entire platform.</w:t>
            </w:r>
          </w:p>
        </w:tc>
      </w:tr>
      <w:tr w:rsidR="006777F0" w:rsidRPr="004C7399" w14:paraId="0A4752B3" w14:textId="77777777" w:rsidTr="004C7399">
        <w:trPr>
          <w:jc w:val="center"/>
        </w:trPr>
        <w:tc>
          <w:tcPr>
            <w:tcW w:w="1462" w:type="pct"/>
            <w:shd w:val="clear" w:color="auto" w:fill="D9F0E3"/>
          </w:tcPr>
          <w:p w14:paraId="5E1AD7F8" w14:textId="77777777" w:rsidR="006777F0" w:rsidRPr="004C7399" w:rsidRDefault="00000000">
            <w:pPr>
              <w:spacing w:before="80" w:after="80"/>
              <w:rPr>
                <w:rFonts w:ascii="Aptos" w:hAnsi="Aptos"/>
                <w:sz w:val="18"/>
                <w:szCs w:val="18"/>
              </w:rPr>
            </w:pPr>
            <w:r w:rsidRPr="004C7399">
              <w:rPr>
                <w:rFonts w:ascii="Aptos" w:hAnsi="Aptos"/>
                <w:b/>
                <w:color w:val="2F3B52"/>
                <w:sz w:val="18"/>
                <w:szCs w:val="18"/>
              </w:rPr>
              <w:t>2. ETL Layer</w:t>
            </w:r>
          </w:p>
        </w:tc>
        <w:tc>
          <w:tcPr>
            <w:tcW w:w="3538" w:type="pct"/>
            <w:shd w:val="clear" w:color="auto" w:fill="FFFFFF"/>
          </w:tcPr>
          <w:p w14:paraId="46DC3E1A" w14:textId="77777777" w:rsidR="006777F0" w:rsidRPr="004C7399" w:rsidRDefault="00000000">
            <w:pPr>
              <w:spacing w:before="80" w:after="80"/>
              <w:rPr>
                <w:rFonts w:ascii="Aptos" w:hAnsi="Aptos"/>
                <w:sz w:val="18"/>
                <w:szCs w:val="18"/>
              </w:rPr>
            </w:pPr>
            <w:r w:rsidRPr="004C7399">
              <w:rPr>
                <w:rFonts w:ascii="Aptos" w:hAnsi="Aptos"/>
                <w:sz w:val="18"/>
                <w:szCs w:val="18"/>
              </w:rPr>
              <w:t>Raw, transaction-level data is cleaned and aggregated to a weekly view per store and SKU, with automated checks for data quality and completeness. This weekly view feeds every downstream model.</w:t>
            </w:r>
          </w:p>
        </w:tc>
      </w:tr>
      <w:tr w:rsidR="006777F0" w:rsidRPr="004C7399" w14:paraId="0D39B253" w14:textId="77777777" w:rsidTr="004C7399">
        <w:trPr>
          <w:jc w:val="center"/>
        </w:trPr>
        <w:tc>
          <w:tcPr>
            <w:tcW w:w="1462" w:type="pct"/>
            <w:shd w:val="clear" w:color="auto" w:fill="FCEBC7"/>
          </w:tcPr>
          <w:p w14:paraId="6D3C5C0A" w14:textId="77777777" w:rsidR="006777F0" w:rsidRPr="004C7399" w:rsidRDefault="00000000">
            <w:pPr>
              <w:spacing w:before="80" w:after="80"/>
              <w:rPr>
                <w:rFonts w:ascii="Aptos" w:hAnsi="Aptos"/>
                <w:sz w:val="18"/>
                <w:szCs w:val="18"/>
              </w:rPr>
            </w:pPr>
            <w:r w:rsidRPr="004C7399">
              <w:rPr>
                <w:rFonts w:ascii="Aptos" w:hAnsi="Aptos"/>
                <w:b/>
                <w:color w:val="2F3B52"/>
                <w:sz w:val="18"/>
                <w:szCs w:val="18"/>
              </w:rPr>
              <w:t>3. ML / Analytics Engine</w:t>
            </w:r>
          </w:p>
        </w:tc>
        <w:tc>
          <w:tcPr>
            <w:tcW w:w="3538" w:type="pct"/>
            <w:shd w:val="clear" w:color="auto" w:fill="FFFFFF"/>
          </w:tcPr>
          <w:p w14:paraId="3FA3E29F" w14:textId="77777777" w:rsidR="006777F0" w:rsidRPr="004C7399" w:rsidRDefault="00000000">
            <w:pPr>
              <w:spacing w:before="80" w:after="80"/>
              <w:rPr>
                <w:rFonts w:ascii="Aptos" w:hAnsi="Aptos"/>
                <w:sz w:val="18"/>
                <w:szCs w:val="18"/>
              </w:rPr>
            </w:pPr>
            <w:r w:rsidRPr="004C7399">
              <w:rPr>
                <w:rFonts w:ascii="Aptos" w:hAnsi="Aptos"/>
                <w:sz w:val="18"/>
                <w:szCs w:val="18"/>
              </w:rPr>
              <w:t>Five purpose-built models run on the weekly data: demand forecasting, store clustering, new-SKU similarity matching, basket/delisting analysis, and a new-SKU intelligence engine that evaluates launch candidates.</w:t>
            </w:r>
          </w:p>
        </w:tc>
      </w:tr>
      <w:tr w:rsidR="006777F0" w:rsidRPr="004C7399" w14:paraId="4F837819" w14:textId="77777777" w:rsidTr="004C7399">
        <w:trPr>
          <w:jc w:val="center"/>
        </w:trPr>
        <w:tc>
          <w:tcPr>
            <w:tcW w:w="1462" w:type="pct"/>
            <w:shd w:val="clear" w:color="auto" w:fill="F1DEF4"/>
          </w:tcPr>
          <w:p w14:paraId="797AD558" w14:textId="77777777" w:rsidR="006777F0" w:rsidRPr="004C7399" w:rsidRDefault="00000000">
            <w:pPr>
              <w:spacing w:before="80" w:after="80"/>
              <w:rPr>
                <w:rFonts w:ascii="Aptos" w:hAnsi="Aptos"/>
                <w:sz w:val="18"/>
                <w:szCs w:val="18"/>
              </w:rPr>
            </w:pPr>
            <w:r w:rsidRPr="004C7399">
              <w:rPr>
                <w:rFonts w:ascii="Aptos" w:hAnsi="Aptos"/>
                <w:b/>
                <w:color w:val="2F3B52"/>
                <w:sz w:val="18"/>
                <w:szCs w:val="18"/>
              </w:rPr>
              <w:t>4. Decision Outputs</w:t>
            </w:r>
          </w:p>
        </w:tc>
        <w:tc>
          <w:tcPr>
            <w:tcW w:w="3538" w:type="pct"/>
            <w:shd w:val="clear" w:color="auto" w:fill="FFFFFF"/>
          </w:tcPr>
          <w:p w14:paraId="78577DD6" w14:textId="77777777" w:rsidR="006777F0" w:rsidRPr="004C7399" w:rsidRDefault="00000000">
            <w:pPr>
              <w:spacing w:before="80" w:after="80"/>
              <w:rPr>
                <w:rFonts w:ascii="Aptos" w:hAnsi="Aptos"/>
                <w:sz w:val="18"/>
                <w:szCs w:val="18"/>
              </w:rPr>
            </w:pPr>
            <w:r w:rsidRPr="004C7399">
              <w:rPr>
                <w:rFonts w:ascii="Aptos" w:hAnsi="Aptos"/>
                <w:sz w:val="18"/>
                <w:szCs w:val="18"/>
              </w:rPr>
              <w:t>Model outputs are consolidated into clear, actionable recommendations — which SKUs to keep, expand, watch, or delist — along with demand forecasts and supporting evidence.</w:t>
            </w:r>
          </w:p>
        </w:tc>
      </w:tr>
      <w:tr w:rsidR="006777F0" w:rsidRPr="004C7399" w14:paraId="3A343484" w14:textId="77777777" w:rsidTr="004C7399">
        <w:trPr>
          <w:jc w:val="center"/>
        </w:trPr>
        <w:tc>
          <w:tcPr>
            <w:tcW w:w="1462" w:type="pct"/>
            <w:shd w:val="clear" w:color="auto" w:fill="FADCDC"/>
          </w:tcPr>
          <w:p w14:paraId="01A32C94" w14:textId="77777777" w:rsidR="006777F0" w:rsidRPr="004C7399" w:rsidRDefault="00000000">
            <w:pPr>
              <w:spacing w:before="80" w:after="80"/>
              <w:rPr>
                <w:rFonts w:ascii="Aptos" w:hAnsi="Aptos"/>
                <w:sz w:val="18"/>
                <w:szCs w:val="18"/>
              </w:rPr>
            </w:pPr>
            <w:r w:rsidRPr="004C7399">
              <w:rPr>
                <w:rFonts w:ascii="Aptos" w:hAnsi="Aptos"/>
                <w:b/>
                <w:color w:val="2F3B52"/>
                <w:sz w:val="18"/>
                <w:szCs w:val="18"/>
              </w:rPr>
              <w:t>5. AI Agents</w:t>
            </w:r>
          </w:p>
        </w:tc>
        <w:tc>
          <w:tcPr>
            <w:tcW w:w="3538" w:type="pct"/>
            <w:shd w:val="clear" w:color="auto" w:fill="FFFFFF"/>
          </w:tcPr>
          <w:p w14:paraId="6BF1E6E8" w14:textId="77777777" w:rsidR="006777F0" w:rsidRPr="004C7399" w:rsidRDefault="00000000">
            <w:pPr>
              <w:spacing w:before="80" w:after="80"/>
              <w:rPr>
                <w:rFonts w:ascii="Aptos" w:hAnsi="Aptos"/>
                <w:sz w:val="18"/>
                <w:szCs w:val="18"/>
              </w:rPr>
            </w:pPr>
            <w:r w:rsidRPr="004C7399">
              <w:rPr>
                <w:rFonts w:ascii="Aptos" w:hAnsi="Aptos"/>
                <w:sz w:val="18"/>
                <w:szCs w:val="18"/>
              </w:rPr>
              <w:t>Three GenAI-powered agents sit on top of the decision outputs: one flags anomalies, one highlights where local recommendations diverge from the overall category view, and one writes plain-language category briefs.</w:t>
            </w:r>
          </w:p>
        </w:tc>
      </w:tr>
      <w:tr w:rsidR="006777F0" w:rsidRPr="004C7399" w14:paraId="433C83F8" w14:textId="77777777" w:rsidTr="004C7399">
        <w:trPr>
          <w:jc w:val="center"/>
        </w:trPr>
        <w:tc>
          <w:tcPr>
            <w:tcW w:w="1462" w:type="pct"/>
            <w:shd w:val="clear" w:color="auto" w:fill="DCEBF8"/>
          </w:tcPr>
          <w:p w14:paraId="7FCF700F" w14:textId="77777777" w:rsidR="006777F0" w:rsidRPr="004C7399" w:rsidRDefault="00000000">
            <w:pPr>
              <w:spacing w:before="80" w:after="80"/>
              <w:rPr>
                <w:rFonts w:ascii="Aptos" w:hAnsi="Aptos"/>
                <w:sz w:val="18"/>
                <w:szCs w:val="18"/>
              </w:rPr>
            </w:pPr>
            <w:r w:rsidRPr="004C7399">
              <w:rPr>
                <w:rFonts w:ascii="Aptos" w:hAnsi="Aptos"/>
                <w:b/>
                <w:color w:val="2F3B52"/>
                <w:sz w:val="18"/>
                <w:szCs w:val="18"/>
              </w:rPr>
              <w:t>6. API Layer</w:t>
            </w:r>
          </w:p>
        </w:tc>
        <w:tc>
          <w:tcPr>
            <w:tcW w:w="3538" w:type="pct"/>
            <w:shd w:val="clear" w:color="auto" w:fill="FFFFFF"/>
          </w:tcPr>
          <w:p w14:paraId="540AF3EC" w14:textId="77777777" w:rsidR="006777F0" w:rsidRPr="004C7399" w:rsidRDefault="00000000">
            <w:pPr>
              <w:spacing w:before="80" w:after="80"/>
              <w:rPr>
                <w:rFonts w:ascii="Aptos" w:hAnsi="Aptos"/>
                <w:sz w:val="18"/>
                <w:szCs w:val="18"/>
              </w:rPr>
            </w:pPr>
            <w:r w:rsidRPr="004C7399">
              <w:rPr>
                <w:rFonts w:ascii="Aptos" w:hAnsi="Aptos"/>
                <w:sz w:val="18"/>
                <w:szCs w:val="18"/>
              </w:rPr>
              <w:t>A single service layer exposes all decisions, forecasts, and agent outputs through a consistent set of endpoints, keeping the dashboard and the underlying data cleanly separated.</w:t>
            </w:r>
          </w:p>
        </w:tc>
      </w:tr>
      <w:tr w:rsidR="006777F0" w:rsidRPr="004C7399" w14:paraId="0DDE1B13" w14:textId="77777777" w:rsidTr="004C7399">
        <w:trPr>
          <w:jc w:val="center"/>
        </w:trPr>
        <w:tc>
          <w:tcPr>
            <w:tcW w:w="1462" w:type="pct"/>
            <w:shd w:val="clear" w:color="auto" w:fill="E5E0F5"/>
          </w:tcPr>
          <w:p w14:paraId="039F95C4" w14:textId="77777777" w:rsidR="006777F0" w:rsidRPr="004C7399" w:rsidRDefault="00000000">
            <w:pPr>
              <w:spacing w:before="80" w:after="80"/>
              <w:rPr>
                <w:rFonts w:ascii="Aptos" w:hAnsi="Aptos"/>
                <w:sz w:val="18"/>
                <w:szCs w:val="18"/>
              </w:rPr>
            </w:pPr>
            <w:r w:rsidRPr="004C7399">
              <w:rPr>
                <w:rFonts w:ascii="Aptos" w:hAnsi="Aptos"/>
                <w:b/>
                <w:color w:val="2F3B52"/>
                <w:sz w:val="18"/>
                <w:szCs w:val="18"/>
              </w:rPr>
              <w:t>7. User Experience</w:t>
            </w:r>
          </w:p>
        </w:tc>
        <w:tc>
          <w:tcPr>
            <w:tcW w:w="3538" w:type="pct"/>
            <w:shd w:val="clear" w:color="auto" w:fill="FFFFFF"/>
          </w:tcPr>
          <w:p w14:paraId="1C413D6C" w14:textId="77777777" w:rsidR="006777F0" w:rsidRPr="004C7399" w:rsidRDefault="00000000">
            <w:pPr>
              <w:spacing w:before="80" w:after="80"/>
              <w:rPr>
                <w:rFonts w:ascii="Aptos" w:hAnsi="Aptos"/>
                <w:sz w:val="18"/>
                <w:szCs w:val="18"/>
              </w:rPr>
            </w:pPr>
            <w:r w:rsidRPr="004C7399">
              <w:rPr>
                <w:rFonts w:ascii="Aptos" w:hAnsi="Aptos"/>
                <w:sz w:val="18"/>
                <w:szCs w:val="18"/>
              </w:rPr>
              <w:t>Category managers interact with everything through one web dashboard: category performance insights, the assortment decision hub, a new-SKU intelligence hub, and an AI agent hub — no technical knowledge required.</w:t>
            </w:r>
          </w:p>
        </w:tc>
      </w:tr>
    </w:tbl>
    <w:p w14:paraId="1CC15C48" w14:textId="77777777" w:rsidR="006777F0" w:rsidRDefault="006777F0">
      <w:pPr>
        <w:spacing w:after="80"/>
      </w:pPr>
    </w:p>
    <w:p w14:paraId="40FDE85C" w14:textId="77777777" w:rsidR="006777F0" w:rsidRPr="004C7399" w:rsidRDefault="00000000">
      <w:pPr>
        <w:pStyle w:val="Heading1"/>
        <w:rPr>
          <w:rFonts w:ascii="Aptos" w:hAnsi="Aptos"/>
          <w:sz w:val="18"/>
          <w:szCs w:val="18"/>
        </w:rPr>
      </w:pPr>
      <w:r w:rsidRPr="004C7399">
        <w:rPr>
          <w:rFonts w:ascii="Aptos" w:hAnsi="Aptos"/>
          <w:color w:val="2F3B52"/>
          <w:sz w:val="18"/>
          <w:szCs w:val="18"/>
        </w:rPr>
        <w:t>4. Technology Stack at a Glance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8"/>
        <w:gridCol w:w="5508"/>
      </w:tblGrid>
      <w:tr w:rsidR="006777F0" w:rsidRPr="004C7399" w14:paraId="6A1E0851" w14:textId="77777777" w:rsidTr="004C7399">
        <w:trPr>
          <w:trHeight w:val="387"/>
          <w:tblHeader/>
          <w:jc w:val="center"/>
        </w:trPr>
        <w:tc>
          <w:tcPr>
            <w:tcW w:w="2500" w:type="pct"/>
            <w:shd w:val="clear" w:color="auto" w:fill="2F3B52"/>
          </w:tcPr>
          <w:p w14:paraId="67C7DFB8" w14:textId="77777777" w:rsidR="006777F0" w:rsidRPr="004C7399" w:rsidRDefault="00000000">
            <w:pPr>
              <w:rPr>
                <w:rFonts w:ascii="Aptos" w:hAnsi="Aptos"/>
                <w:sz w:val="18"/>
                <w:szCs w:val="18"/>
              </w:rPr>
            </w:pPr>
            <w:r w:rsidRPr="004C7399">
              <w:rPr>
                <w:rFonts w:ascii="Aptos" w:hAnsi="Aptos"/>
                <w:b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500" w:type="pct"/>
            <w:shd w:val="clear" w:color="auto" w:fill="2F3B52"/>
          </w:tcPr>
          <w:p w14:paraId="79DE8EED" w14:textId="77777777" w:rsidR="006777F0" w:rsidRPr="004C7399" w:rsidRDefault="00000000">
            <w:pPr>
              <w:rPr>
                <w:rFonts w:ascii="Aptos" w:hAnsi="Aptos"/>
                <w:sz w:val="18"/>
                <w:szCs w:val="18"/>
              </w:rPr>
            </w:pPr>
            <w:r w:rsidRPr="004C7399">
              <w:rPr>
                <w:rFonts w:ascii="Aptos" w:hAnsi="Aptos"/>
                <w:b/>
                <w:color w:val="FFFFFF"/>
                <w:sz w:val="18"/>
                <w:szCs w:val="18"/>
              </w:rPr>
              <w:t>Technology</w:t>
            </w:r>
          </w:p>
        </w:tc>
      </w:tr>
      <w:tr w:rsidR="006777F0" w:rsidRPr="004C7399" w14:paraId="0D822056" w14:textId="77777777" w:rsidTr="004C7399">
        <w:trPr>
          <w:trHeight w:val="395"/>
          <w:jc w:val="center"/>
        </w:trPr>
        <w:tc>
          <w:tcPr>
            <w:tcW w:w="2500" w:type="pct"/>
            <w:shd w:val="clear" w:color="auto" w:fill="F2F6FC"/>
          </w:tcPr>
          <w:p w14:paraId="1D31ECC3" w14:textId="77777777" w:rsidR="006777F0" w:rsidRPr="004C7399" w:rsidRDefault="00000000">
            <w:pPr>
              <w:rPr>
                <w:rFonts w:ascii="Aptos" w:hAnsi="Aptos"/>
                <w:sz w:val="18"/>
                <w:szCs w:val="18"/>
              </w:rPr>
            </w:pPr>
            <w:r w:rsidRPr="004C7399">
              <w:rPr>
                <w:rFonts w:ascii="Aptos" w:hAnsi="Aptos"/>
                <w:sz w:val="18"/>
                <w:szCs w:val="18"/>
              </w:rPr>
              <w:t>Database</w:t>
            </w:r>
          </w:p>
        </w:tc>
        <w:tc>
          <w:tcPr>
            <w:tcW w:w="2500" w:type="pct"/>
          </w:tcPr>
          <w:p w14:paraId="1F54A672" w14:textId="77777777" w:rsidR="006777F0" w:rsidRPr="004C7399" w:rsidRDefault="00000000">
            <w:pPr>
              <w:rPr>
                <w:rFonts w:ascii="Aptos" w:hAnsi="Aptos"/>
                <w:sz w:val="18"/>
                <w:szCs w:val="18"/>
              </w:rPr>
            </w:pPr>
            <w:r w:rsidRPr="004C7399">
              <w:rPr>
                <w:rFonts w:ascii="Aptos" w:hAnsi="Aptos"/>
                <w:sz w:val="18"/>
                <w:szCs w:val="18"/>
              </w:rPr>
              <w:t>PostgreSQL</w:t>
            </w:r>
          </w:p>
        </w:tc>
      </w:tr>
      <w:tr w:rsidR="006777F0" w:rsidRPr="004C7399" w14:paraId="6915479A" w14:textId="77777777" w:rsidTr="004C7399">
        <w:trPr>
          <w:trHeight w:val="368"/>
          <w:jc w:val="center"/>
        </w:trPr>
        <w:tc>
          <w:tcPr>
            <w:tcW w:w="2500" w:type="pct"/>
            <w:shd w:val="clear" w:color="auto" w:fill="F2F6FC"/>
          </w:tcPr>
          <w:p w14:paraId="541F2A34" w14:textId="77777777" w:rsidR="006777F0" w:rsidRPr="004C7399" w:rsidRDefault="00000000">
            <w:pPr>
              <w:rPr>
                <w:rFonts w:ascii="Aptos" w:hAnsi="Aptos"/>
                <w:sz w:val="18"/>
                <w:szCs w:val="18"/>
              </w:rPr>
            </w:pPr>
            <w:r w:rsidRPr="004C7399">
              <w:rPr>
                <w:rFonts w:ascii="Aptos" w:hAnsi="Aptos"/>
                <w:sz w:val="18"/>
                <w:szCs w:val="18"/>
              </w:rPr>
              <w:lastRenderedPageBreak/>
              <w:t>Data Processing</w:t>
            </w:r>
          </w:p>
        </w:tc>
        <w:tc>
          <w:tcPr>
            <w:tcW w:w="2500" w:type="pct"/>
          </w:tcPr>
          <w:p w14:paraId="4AA2F81D" w14:textId="77777777" w:rsidR="006777F0" w:rsidRPr="004C7399" w:rsidRDefault="00000000">
            <w:pPr>
              <w:rPr>
                <w:rFonts w:ascii="Aptos" w:hAnsi="Aptos"/>
                <w:sz w:val="18"/>
                <w:szCs w:val="18"/>
              </w:rPr>
            </w:pPr>
            <w:r w:rsidRPr="004C7399">
              <w:rPr>
                <w:rFonts w:ascii="Aptos" w:hAnsi="Aptos"/>
                <w:sz w:val="18"/>
                <w:szCs w:val="18"/>
              </w:rPr>
              <w:t>Python (pandas, numpy, scikit-learn)</w:t>
            </w:r>
          </w:p>
        </w:tc>
      </w:tr>
      <w:tr w:rsidR="006777F0" w:rsidRPr="004C7399" w14:paraId="58CB17F9" w14:textId="77777777" w:rsidTr="004C7399">
        <w:trPr>
          <w:trHeight w:val="395"/>
          <w:jc w:val="center"/>
        </w:trPr>
        <w:tc>
          <w:tcPr>
            <w:tcW w:w="2500" w:type="pct"/>
            <w:shd w:val="clear" w:color="auto" w:fill="F2F6FC"/>
          </w:tcPr>
          <w:p w14:paraId="7068BB54" w14:textId="77777777" w:rsidR="006777F0" w:rsidRPr="004C7399" w:rsidRDefault="00000000">
            <w:pPr>
              <w:rPr>
                <w:rFonts w:ascii="Aptos" w:hAnsi="Aptos"/>
                <w:sz w:val="18"/>
                <w:szCs w:val="18"/>
              </w:rPr>
            </w:pPr>
            <w:r w:rsidRPr="004C7399">
              <w:rPr>
                <w:rFonts w:ascii="Aptos" w:hAnsi="Aptos"/>
                <w:sz w:val="18"/>
                <w:szCs w:val="18"/>
              </w:rPr>
              <w:t>Machine Learning</w:t>
            </w:r>
          </w:p>
        </w:tc>
        <w:tc>
          <w:tcPr>
            <w:tcW w:w="2500" w:type="pct"/>
          </w:tcPr>
          <w:p w14:paraId="7CE7844A" w14:textId="77777777" w:rsidR="006777F0" w:rsidRPr="004C7399" w:rsidRDefault="00000000">
            <w:pPr>
              <w:rPr>
                <w:rFonts w:ascii="Aptos" w:hAnsi="Aptos"/>
                <w:sz w:val="18"/>
                <w:szCs w:val="18"/>
              </w:rPr>
            </w:pPr>
            <w:r w:rsidRPr="004C7399">
              <w:rPr>
                <w:rFonts w:ascii="Aptos" w:hAnsi="Aptos"/>
                <w:sz w:val="18"/>
                <w:szCs w:val="18"/>
              </w:rPr>
              <w:t>LightGBM, Nixtla AutoETS for demand forecasting</w:t>
            </w:r>
          </w:p>
        </w:tc>
      </w:tr>
      <w:tr w:rsidR="006777F0" w:rsidRPr="004C7399" w14:paraId="037BEFCD" w14:textId="77777777" w:rsidTr="004C7399">
        <w:trPr>
          <w:trHeight w:val="341"/>
          <w:jc w:val="center"/>
        </w:trPr>
        <w:tc>
          <w:tcPr>
            <w:tcW w:w="2500" w:type="pct"/>
            <w:shd w:val="clear" w:color="auto" w:fill="F2F6FC"/>
          </w:tcPr>
          <w:p w14:paraId="02638680" w14:textId="77777777" w:rsidR="006777F0" w:rsidRPr="004C7399" w:rsidRDefault="00000000">
            <w:pPr>
              <w:rPr>
                <w:rFonts w:ascii="Aptos" w:hAnsi="Aptos"/>
                <w:sz w:val="18"/>
                <w:szCs w:val="18"/>
              </w:rPr>
            </w:pPr>
            <w:r w:rsidRPr="004C7399">
              <w:rPr>
                <w:rFonts w:ascii="Aptos" w:hAnsi="Aptos"/>
                <w:sz w:val="18"/>
                <w:szCs w:val="18"/>
              </w:rPr>
              <w:t>AI Agents</w:t>
            </w:r>
          </w:p>
        </w:tc>
        <w:tc>
          <w:tcPr>
            <w:tcW w:w="2500" w:type="pct"/>
          </w:tcPr>
          <w:p w14:paraId="3F2B8436" w14:textId="77777777" w:rsidR="006777F0" w:rsidRPr="004C7399" w:rsidRDefault="00000000">
            <w:pPr>
              <w:rPr>
                <w:rFonts w:ascii="Aptos" w:hAnsi="Aptos"/>
                <w:sz w:val="18"/>
                <w:szCs w:val="18"/>
              </w:rPr>
            </w:pPr>
            <w:r w:rsidRPr="004C7399">
              <w:rPr>
                <w:rFonts w:ascii="Aptos" w:hAnsi="Aptos"/>
                <w:sz w:val="18"/>
                <w:szCs w:val="18"/>
              </w:rPr>
              <w:t>GenAI (LLM)-powered narrative and anomaly-detection agents</w:t>
            </w:r>
          </w:p>
        </w:tc>
      </w:tr>
      <w:tr w:rsidR="006777F0" w:rsidRPr="004C7399" w14:paraId="53DF574D" w14:textId="77777777" w:rsidTr="004C7399">
        <w:trPr>
          <w:trHeight w:val="323"/>
          <w:jc w:val="center"/>
        </w:trPr>
        <w:tc>
          <w:tcPr>
            <w:tcW w:w="2500" w:type="pct"/>
            <w:shd w:val="clear" w:color="auto" w:fill="F2F6FC"/>
          </w:tcPr>
          <w:p w14:paraId="44AB5055" w14:textId="77777777" w:rsidR="006777F0" w:rsidRPr="004C7399" w:rsidRDefault="00000000">
            <w:pPr>
              <w:rPr>
                <w:rFonts w:ascii="Aptos" w:hAnsi="Aptos"/>
                <w:sz w:val="18"/>
                <w:szCs w:val="18"/>
              </w:rPr>
            </w:pPr>
            <w:r w:rsidRPr="004C7399">
              <w:rPr>
                <w:rFonts w:ascii="Aptos" w:hAnsi="Aptos"/>
                <w:sz w:val="18"/>
                <w:szCs w:val="18"/>
              </w:rPr>
              <w:t>Backend API</w:t>
            </w:r>
          </w:p>
        </w:tc>
        <w:tc>
          <w:tcPr>
            <w:tcW w:w="2500" w:type="pct"/>
          </w:tcPr>
          <w:p w14:paraId="7B35A3F1" w14:textId="77777777" w:rsidR="006777F0" w:rsidRPr="004C7399" w:rsidRDefault="00000000">
            <w:pPr>
              <w:rPr>
                <w:rFonts w:ascii="Aptos" w:hAnsi="Aptos"/>
                <w:sz w:val="18"/>
                <w:szCs w:val="18"/>
              </w:rPr>
            </w:pPr>
            <w:r w:rsidRPr="004C7399">
              <w:rPr>
                <w:rFonts w:ascii="Aptos" w:hAnsi="Aptos"/>
                <w:sz w:val="18"/>
                <w:szCs w:val="18"/>
              </w:rPr>
              <w:t>FastAPI</w:t>
            </w:r>
          </w:p>
        </w:tc>
      </w:tr>
      <w:tr w:rsidR="006777F0" w:rsidRPr="004C7399" w14:paraId="393CBC28" w14:textId="77777777" w:rsidTr="004C7399">
        <w:trPr>
          <w:trHeight w:val="305"/>
          <w:jc w:val="center"/>
        </w:trPr>
        <w:tc>
          <w:tcPr>
            <w:tcW w:w="2500" w:type="pct"/>
            <w:shd w:val="clear" w:color="auto" w:fill="F2F6FC"/>
          </w:tcPr>
          <w:p w14:paraId="3A24FD77" w14:textId="77777777" w:rsidR="006777F0" w:rsidRPr="004C7399" w:rsidRDefault="00000000">
            <w:pPr>
              <w:rPr>
                <w:rFonts w:ascii="Aptos" w:hAnsi="Aptos"/>
                <w:sz w:val="18"/>
                <w:szCs w:val="18"/>
              </w:rPr>
            </w:pPr>
            <w:r w:rsidRPr="004C7399">
              <w:rPr>
                <w:rFonts w:ascii="Aptos" w:hAnsi="Aptos"/>
                <w:sz w:val="18"/>
                <w:szCs w:val="18"/>
              </w:rPr>
              <w:t>Frontend Dashboard</w:t>
            </w:r>
          </w:p>
        </w:tc>
        <w:tc>
          <w:tcPr>
            <w:tcW w:w="2500" w:type="pct"/>
          </w:tcPr>
          <w:p w14:paraId="381C8590" w14:textId="77777777" w:rsidR="006777F0" w:rsidRPr="004C7399" w:rsidRDefault="00000000">
            <w:pPr>
              <w:rPr>
                <w:rFonts w:ascii="Aptos" w:hAnsi="Aptos"/>
                <w:sz w:val="18"/>
                <w:szCs w:val="18"/>
              </w:rPr>
            </w:pPr>
            <w:r w:rsidRPr="004C7399">
              <w:rPr>
                <w:rFonts w:ascii="Aptos" w:hAnsi="Aptos"/>
                <w:sz w:val="18"/>
                <w:szCs w:val="18"/>
              </w:rPr>
              <w:t>React (with interactive charts and data grids)</w:t>
            </w:r>
          </w:p>
        </w:tc>
      </w:tr>
    </w:tbl>
    <w:p w14:paraId="6A0B1203" w14:textId="77777777" w:rsidR="006777F0" w:rsidRPr="004C7399" w:rsidRDefault="006777F0">
      <w:pPr>
        <w:spacing w:after="80"/>
        <w:rPr>
          <w:rFonts w:ascii="Aptos" w:hAnsi="Aptos"/>
          <w:sz w:val="18"/>
          <w:szCs w:val="18"/>
        </w:rPr>
      </w:pPr>
    </w:p>
    <w:p w14:paraId="45BEE1DE" w14:textId="77777777" w:rsidR="006777F0" w:rsidRPr="004C7399" w:rsidRDefault="00000000">
      <w:pPr>
        <w:pStyle w:val="Heading1"/>
        <w:rPr>
          <w:rFonts w:ascii="Aptos" w:hAnsi="Aptos"/>
          <w:sz w:val="18"/>
          <w:szCs w:val="18"/>
        </w:rPr>
      </w:pPr>
      <w:r w:rsidRPr="004C7399">
        <w:rPr>
          <w:rFonts w:ascii="Aptos" w:hAnsi="Aptos"/>
          <w:color w:val="2F3B52"/>
          <w:sz w:val="18"/>
          <w:szCs w:val="18"/>
        </w:rPr>
        <w:t>5. Why This Architecture Matters</w:t>
      </w:r>
    </w:p>
    <w:p w14:paraId="46EBE740" w14:textId="77777777" w:rsidR="006777F0" w:rsidRPr="004C7399" w:rsidRDefault="00000000">
      <w:pPr>
        <w:pStyle w:val="ListBullet"/>
        <w:spacing w:after="80"/>
        <w:rPr>
          <w:rFonts w:ascii="Aptos" w:hAnsi="Aptos"/>
          <w:sz w:val="18"/>
          <w:szCs w:val="18"/>
        </w:rPr>
      </w:pPr>
      <w:r w:rsidRPr="004C7399">
        <w:rPr>
          <w:rFonts w:ascii="Aptos" w:hAnsi="Aptos"/>
          <w:sz w:val="18"/>
          <w:szCs w:val="18"/>
        </w:rPr>
        <w:t>Single source of truth: all data flows through one governed database, reducing inconsistency across reports.</w:t>
      </w:r>
    </w:p>
    <w:p w14:paraId="631367C7" w14:textId="77777777" w:rsidR="006777F0" w:rsidRPr="004C7399" w:rsidRDefault="00000000">
      <w:pPr>
        <w:pStyle w:val="ListBullet"/>
        <w:spacing w:after="80"/>
        <w:rPr>
          <w:rFonts w:ascii="Aptos" w:hAnsi="Aptos"/>
          <w:sz w:val="18"/>
          <w:szCs w:val="18"/>
        </w:rPr>
      </w:pPr>
      <w:r w:rsidRPr="004C7399">
        <w:rPr>
          <w:rFonts w:ascii="Aptos" w:hAnsi="Aptos"/>
          <w:sz w:val="18"/>
          <w:szCs w:val="18"/>
        </w:rPr>
        <w:t>Modular design: each analytics engine (forecasting, clustering, basket analysis) can be improved independently without disrupting the rest of the platform.</w:t>
      </w:r>
    </w:p>
    <w:p w14:paraId="7A811BD9" w14:textId="77777777" w:rsidR="006777F0" w:rsidRPr="004C7399" w:rsidRDefault="00000000" w:rsidP="004C7399">
      <w:pPr>
        <w:pStyle w:val="ListBullet"/>
        <w:spacing w:after="0"/>
        <w:rPr>
          <w:rFonts w:ascii="Aptos" w:hAnsi="Aptos"/>
          <w:sz w:val="18"/>
          <w:szCs w:val="18"/>
        </w:rPr>
      </w:pPr>
      <w:r w:rsidRPr="004C7399">
        <w:rPr>
          <w:rFonts w:ascii="Aptos" w:hAnsi="Aptos"/>
          <w:sz w:val="18"/>
          <w:szCs w:val="18"/>
        </w:rPr>
        <w:t>Explainable decisions: assortment recommendations are backed by transparent, auditable model outputs — not a black box.</w:t>
      </w:r>
    </w:p>
    <w:p w14:paraId="46165CE0" w14:textId="77777777" w:rsidR="006777F0" w:rsidRPr="004C7399" w:rsidRDefault="00000000" w:rsidP="004C7399">
      <w:pPr>
        <w:pStyle w:val="ListBullet"/>
        <w:spacing w:after="0"/>
        <w:rPr>
          <w:rFonts w:ascii="Aptos" w:hAnsi="Aptos"/>
          <w:sz w:val="18"/>
          <w:szCs w:val="18"/>
        </w:rPr>
      </w:pPr>
      <w:r w:rsidRPr="004C7399">
        <w:rPr>
          <w:rFonts w:ascii="Aptos" w:hAnsi="Aptos"/>
          <w:sz w:val="18"/>
          <w:szCs w:val="18"/>
        </w:rPr>
        <w:t>AI-augmented, human-led: GenAI agents surface insights and anomalies, but category managers retain the final decision.</w:t>
      </w:r>
    </w:p>
    <w:p w14:paraId="0D95DBEA" w14:textId="63792B5F" w:rsidR="006777F0" w:rsidRPr="004C7399" w:rsidRDefault="00000000" w:rsidP="004C7399">
      <w:pPr>
        <w:pStyle w:val="ListBullet"/>
        <w:spacing w:after="0"/>
        <w:rPr>
          <w:rFonts w:ascii="Aptos" w:hAnsi="Aptos"/>
          <w:sz w:val="18"/>
          <w:szCs w:val="18"/>
        </w:rPr>
      </w:pPr>
      <w:r w:rsidRPr="004C7399">
        <w:rPr>
          <w:rFonts w:ascii="Aptos" w:hAnsi="Aptos"/>
          <w:sz w:val="18"/>
          <w:szCs w:val="18"/>
        </w:rPr>
        <w:t>Built to scale: the same architecture can extend to additional categories beyond Hair Care in future phases.</w:t>
      </w:r>
      <w:r w:rsidRPr="004C7399">
        <w:rPr>
          <w:rFonts w:ascii="Aptos" w:hAnsi="Aptos"/>
          <w:sz w:val="18"/>
          <w:szCs w:val="18"/>
        </w:rPr>
        <w:br w:type="page"/>
      </w:r>
    </w:p>
    <w:p w14:paraId="49224998" w14:textId="77777777" w:rsidR="006777F0" w:rsidRPr="004C7399" w:rsidRDefault="00000000">
      <w:pPr>
        <w:pStyle w:val="Heading1"/>
        <w:rPr>
          <w:rFonts w:ascii="Aptos" w:hAnsi="Aptos"/>
          <w:sz w:val="18"/>
          <w:szCs w:val="18"/>
        </w:rPr>
      </w:pPr>
      <w:r w:rsidRPr="004C7399">
        <w:rPr>
          <w:rFonts w:ascii="Aptos" w:hAnsi="Aptos"/>
          <w:color w:val="2F3B52"/>
          <w:sz w:val="18"/>
          <w:szCs w:val="18"/>
        </w:rPr>
        <w:lastRenderedPageBreak/>
        <w:t>6. Current Status &amp; Near-Term Roadmap</w:t>
      </w:r>
    </w:p>
    <w:p w14:paraId="436E1ECA" w14:textId="77777777" w:rsidR="006777F0" w:rsidRPr="004C7399" w:rsidRDefault="00000000">
      <w:pPr>
        <w:spacing w:after="80"/>
        <w:rPr>
          <w:rFonts w:ascii="Aptos" w:hAnsi="Aptos"/>
          <w:sz w:val="18"/>
          <w:szCs w:val="18"/>
        </w:rPr>
      </w:pPr>
      <w:r w:rsidRPr="004C7399">
        <w:rPr>
          <w:rFonts w:ascii="Aptos" w:hAnsi="Aptos"/>
          <w:b/>
          <w:sz w:val="18"/>
          <w:szCs w:val="18"/>
        </w:rPr>
        <w:t>Implemented today:</w:t>
      </w:r>
    </w:p>
    <w:p w14:paraId="72A00BAA" w14:textId="77777777" w:rsidR="006777F0" w:rsidRPr="004C7399" w:rsidRDefault="00000000">
      <w:pPr>
        <w:pStyle w:val="ListBullet"/>
        <w:spacing w:after="80"/>
        <w:rPr>
          <w:rFonts w:ascii="Aptos" w:hAnsi="Aptos"/>
          <w:sz w:val="18"/>
          <w:szCs w:val="18"/>
        </w:rPr>
      </w:pPr>
      <w:r w:rsidRPr="004C7399">
        <w:rPr>
          <w:rFonts w:ascii="Aptos" w:hAnsi="Aptos"/>
          <w:sz w:val="18"/>
          <w:szCs w:val="18"/>
        </w:rPr>
        <w:t>Weekly ETL pipeline with data quality gates</w:t>
      </w:r>
    </w:p>
    <w:p w14:paraId="00EC6243" w14:textId="77777777" w:rsidR="006777F0" w:rsidRPr="004C7399" w:rsidRDefault="00000000">
      <w:pPr>
        <w:pStyle w:val="ListBullet"/>
        <w:spacing w:after="80"/>
        <w:rPr>
          <w:rFonts w:ascii="Aptos" w:hAnsi="Aptos"/>
          <w:sz w:val="18"/>
          <w:szCs w:val="18"/>
        </w:rPr>
      </w:pPr>
      <w:r w:rsidRPr="004C7399">
        <w:rPr>
          <w:rFonts w:ascii="Aptos" w:hAnsi="Aptos"/>
          <w:sz w:val="18"/>
          <w:szCs w:val="18"/>
        </w:rPr>
        <w:t>Demand forecasting, store clustering, SKU similarity, and basket/delisting analysis</w:t>
      </w:r>
    </w:p>
    <w:p w14:paraId="07824E3B" w14:textId="77777777" w:rsidR="006777F0" w:rsidRPr="004C7399" w:rsidRDefault="00000000">
      <w:pPr>
        <w:pStyle w:val="ListBullet"/>
        <w:spacing w:after="80"/>
        <w:rPr>
          <w:rFonts w:ascii="Aptos" w:hAnsi="Aptos"/>
          <w:sz w:val="18"/>
          <w:szCs w:val="18"/>
        </w:rPr>
      </w:pPr>
      <w:r w:rsidRPr="004C7399">
        <w:rPr>
          <w:rFonts w:ascii="Aptos" w:hAnsi="Aptos"/>
          <w:sz w:val="18"/>
          <w:szCs w:val="18"/>
        </w:rPr>
        <w:t>New SKU Intelligence engine (7-engine orchestrator)</w:t>
      </w:r>
    </w:p>
    <w:p w14:paraId="2CFFCF27" w14:textId="77777777" w:rsidR="006777F0" w:rsidRPr="004C7399" w:rsidRDefault="00000000">
      <w:pPr>
        <w:pStyle w:val="ListBullet"/>
        <w:spacing w:after="80"/>
        <w:rPr>
          <w:rFonts w:ascii="Aptos" w:hAnsi="Aptos"/>
          <w:sz w:val="18"/>
          <w:szCs w:val="18"/>
        </w:rPr>
      </w:pPr>
      <w:r w:rsidRPr="004C7399">
        <w:rPr>
          <w:rFonts w:ascii="Aptos" w:hAnsi="Aptos"/>
          <w:sz w:val="18"/>
          <w:szCs w:val="18"/>
        </w:rPr>
        <w:t>Three GenAI agents (Watchdog, Localization, Brief)</w:t>
      </w:r>
    </w:p>
    <w:p w14:paraId="6CBAE677" w14:textId="77777777" w:rsidR="006777F0" w:rsidRPr="004C7399" w:rsidRDefault="00000000">
      <w:pPr>
        <w:pStyle w:val="ListBullet"/>
        <w:spacing w:after="80"/>
        <w:rPr>
          <w:rFonts w:ascii="Aptos" w:hAnsi="Aptos"/>
          <w:sz w:val="18"/>
          <w:szCs w:val="18"/>
        </w:rPr>
      </w:pPr>
      <w:r w:rsidRPr="004C7399">
        <w:rPr>
          <w:rFonts w:ascii="Aptos" w:hAnsi="Aptos"/>
          <w:sz w:val="18"/>
          <w:szCs w:val="18"/>
        </w:rPr>
        <w:t>FastAPI service layer and React dashboard (Category Insights, Decision Hub, New SKU Hub, Agent Hub)</w:t>
      </w:r>
    </w:p>
    <w:p w14:paraId="59285CE0" w14:textId="77777777" w:rsidR="006777F0" w:rsidRPr="004C7399" w:rsidRDefault="00000000">
      <w:pPr>
        <w:spacing w:after="80"/>
        <w:rPr>
          <w:rFonts w:ascii="Aptos" w:hAnsi="Aptos"/>
          <w:sz w:val="18"/>
          <w:szCs w:val="18"/>
        </w:rPr>
      </w:pPr>
      <w:r w:rsidRPr="004C7399">
        <w:rPr>
          <w:rFonts w:ascii="Aptos" w:hAnsi="Aptos"/>
          <w:b/>
          <w:sz w:val="18"/>
          <w:szCs w:val="18"/>
        </w:rPr>
        <w:t>Planned next:</w:t>
      </w:r>
    </w:p>
    <w:p w14:paraId="7C7FE659" w14:textId="77777777" w:rsidR="006777F0" w:rsidRPr="004C7399" w:rsidRDefault="00000000">
      <w:pPr>
        <w:pStyle w:val="ListBullet"/>
        <w:spacing w:after="80"/>
        <w:rPr>
          <w:rFonts w:ascii="Aptos" w:hAnsi="Aptos"/>
          <w:sz w:val="18"/>
          <w:szCs w:val="18"/>
        </w:rPr>
      </w:pPr>
      <w:r w:rsidRPr="004C7399">
        <w:rPr>
          <w:rFonts w:ascii="Aptos" w:hAnsi="Aptos"/>
          <w:sz w:val="18"/>
          <w:szCs w:val="18"/>
        </w:rPr>
        <w:t>MILP-based assortment optimization (OR-Tools) for cross-lever recommendations</w:t>
      </w:r>
    </w:p>
    <w:p w14:paraId="51B4D087" w14:textId="77777777" w:rsidR="006777F0" w:rsidRPr="004C7399" w:rsidRDefault="00000000">
      <w:pPr>
        <w:pStyle w:val="ListBullet"/>
        <w:spacing w:after="80"/>
        <w:rPr>
          <w:rFonts w:ascii="Aptos" w:hAnsi="Aptos"/>
          <w:sz w:val="18"/>
          <w:szCs w:val="18"/>
        </w:rPr>
      </w:pPr>
      <w:r w:rsidRPr="004C7399">
        <w:rPr>
          <w:rFonts w:ascii="Aptos" w:hAnsi="Aptos"/>
          <w:sz w:val="18"/>
          <w:szCs w:val="18"/>
        </w:rPr>
        <w:t>Formal audit logging for all agent-driven actions</w:t>
      </w:r>
    </w:p>
    <w:p w14:paraId="20B0AFF9" w14:textId="77777777" w:rsidR="006777F0" w:rsidRPr="004C7399" w:rsidRDefault="00000000">
      <w:pPr>
        <w:pStyle w:val="ListBullet"/>
        <w:spacing w:after="80"/>
        <w:rPr>
          <w:rFonts w:ascii="Aptos" w:hAnsi="Aptos"/>
          <w:sz w:val="18"/>
          <w:szCs w:val="18"/>
        </w:rPr>
      </w:pPr>
      <w:r w:rsidRPr="004C7399">
        <w:rPr>
          <w:rFonts w:ascii="Aptos" w:hAnsi="Aptos"/>
          <w:sz w:val="18"/>
          <w:szCs w:val="18"/>
        </w:rPr>
        <w:t>Category health scoring module</w:t>
      </w:r>
    </w:p>
    <w:sectPr w:rsidR="006777F0" w:rsidRPr="004C7399" w:rsidSect="004C739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2350305">
    <w:abstractNumId w:val="8"/>
  </w:num>
  <w:num w:numId="2" w16cid:durableId="1132405899">
    <w:abstractNumId w:val="6"/>
  </w:num>
  <w:num w:numId="3" w16cid:durableId="1092359388">
    <w:abstractNumId w:val="5"/>
  </w:num>
  <w:num w:numId="4" w16cid:durableId="977615546">
    <w:abstractNumId w:val="4"/>
  </w:num>
  <w:num w:numId="5" w16cid:durableId="1236672647">
    <w:abstractNumId w:val="7"/>
  </w:num>
  <w:num w:numId="6" w16cid:durableId="1963148948">
    <w:abstractNumId w:val="3"/>
  </w:num>
  <w:num w:numId="7" w16cid:durableId="913319115">
    <w:abstractNumId w:val="2"/>
  </w:num>
  <w:num w:numId="8" w16cid:durableId="2042584701">
    <w:abstractNumId w:val="1"/>
  </w:num>
  <w:num w:numId="9" w16cid:durableId="1530607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7399"/>
    <w:rsid w:val="006777F0"/>
    <w:rsid w:val="006F6A1E"/>
    <w:rsid w:val="0071724C"/>
    <w:rsid w:val="00AA1D8D"/>
    <w:rsid w:val="00B47730"/>
    <w:rsid w:val="00CB0664"/>
    <w:rsid w:val="00D31B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73D953"/>
  <w14:defaultImageDpi w14:val="300"/>
  <w15:docId w15:val="{2999B865-F426-484A-A469-13B7025E0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Kumar, Shubham</cp:lastModifiedBy>
  <cp:revision>3</cp:revision>
  <dcterms:created xsi:type="dcterms:W3CDTF">2013-12-23T23:15:00Z</dcterms:created>
  <dcterms:modified xsi:type="dcterms:W3CDTF">2026-07-06T05:59:00Z</dcterms:modified>
  <cp:category/>
</cp:coreProperties>
</file>