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Hepatoval Detailing Guide — Hepatology</w:t>
      </w:r>
    </w:p>
    <w:p>
      <w:r>
        <w:rPr>
          <w:i/>
          <w:sz w:val="16"/>
        </w:rPr>
        <w:t>FICTIONAL DEMONSTRATION DOCUMENT — Qorvexa Healthcare is an invented company. This product, its molecule and every clinical statement here are fabricated for software testing. Not medical information. Do not use for any clinical purpose.</w:t>
      </w:r>
    </w:p>
    <w:p>
      <w:r>
        <w:t>Qorvexa Healthcare · Hepatoval (Hepatovaline)</w:t>
      </w:r>
    </w:p>
    <w:p>
      <w:pPr>
        <w:pStyle w:val="Heading2"/>
      </w:pPr>
      <w:r>
        <w:t>1. Key messages</w:t>
      </w:r>
    </w:p>
    <w:p>
      <w:pPr>
        <w:pStyle w:val="ListBullet"/>
      </w:pPr>
      <w:r>
        <w:t>Hepatoval is positioned as adjunctive therapy in non-alcoholic fatty liver disease.</w:t>
      </w:r>
    </w:p>
    <w:p>
      <w:pPr>
        <w:pStyle w:val="ListBullet"/>
      </w:pPr>
      <w:r>
        <w:t>Twice-daily dosing before meals; the enteric coating must not be broken.</w:t>
      </w:r>
    </w:p>
    <w:p>
      <w:pPr>
        <w:pStyle w:val="ListBullet"/>
      </w:pPr>
      <w:r>
        <w:t>Dose is halved in Child-Pugh B, with weekly ammonia monitoring in the first month.</w:t>
      </w:r>
    </w:p>
    <w:p>
      <w:pPr>
        <w:pStyle w:val="Heading2"/>
      </w:pPr>
      <w:r>
        <w:t>2. Approved responses to common objections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Approved response</w:t>
            </w:r>
          </w:p>
        </w:tc>
      </w:tr>
      <w:tr>
        <w:tc>
          <w:tcPr>
            <w:tcW w:type="dxa" w:w="4320"/>
          </w:tcPr>
          <w:p>
            <w:r>
              <w:t>"There is no outcome data."</w:t>
            </w:r>
          </w:p>
        </w:tc>
        <w:tc>
          <w:tcPr>
            <w:tcW w:type="dxa" w:w="4320"/>
          </w:tcPr>
          <w:p>
            <w:r>
              <w:t>Be direct: the licensed indication is adjunctive and symptomatic. Do not imply a hard outcome benefit. Offer the QORVEX-LIVER surrogate-endpoint summary.</w:t>
            </w:r>
          </w:p>
        </w:tc>
      </w:tr>
      <w:tr>
        <w:tc>
          <w:tcPr>
            <w:tcW w:type="dxa" w:w="4320"/>
          </w:tcPr>
          <w:p>
            <w:r>
              <w:t>"My patients take paracetamol regularly."</w:t>
            </w:r>
          </w:p>
        </w:tc>
        <w:tc>
          <w:tcPr>
            <w:tcW w:type="dxa" w:w="4320"/>
          </w:tcPr>
          <w:p>
            <w:r>
              <w:t>Additive glutathione depletion above 2 g/day of paracetamol. Advise the prescriber to counsel patients to limit paracetamol; this is in section 4.5.</w:t>
            </w:r>
          </w:p>
        </w:tc>
      </w:tr>
      <w:tr>
        <w:tc>
          <w:tcPr>
            <w:tcW w:type="dxa" w:w="4320"/>
          </w:tcPr>
          <w:p>
            <w:r>
              <w:t>"Twice daily is a problem for adherence."</w:t>
            </w:r>
          </w:p>
        </w:tc>
        <w:tc>
          <w:tcPr>
            <w:tcW w:type="dxa" w:w="4320"/>
          </w:tcPr>
          <w:p>
            <w:r>
              <w:t>Once-daily 20 mg is the licensed elderly regimen, and may be considered where adherence is the limiting factor.</w:t>
            </w:r>
          </w:p>
        </w:tc>
      </w:tr>
    </w:tbl>
    <w:p/>
    <w:p>
      <w:pPr>
        <w:pStyle w:val="Heading2"/>
      </w:pPr>
      <w:r>
        <w:t>3. Segment guidance</w:t>
      </w:r>
    </w:p>
    <w:p>
      <w:pPr>
        <w:pStyle w:val="ListBullet"/>
      </w:pPr>
      <w:r>
        <w:t>Gastroenterologists: lead with the Child-Pugh dosing table; they will ask for it.</w:t>
      </w:r>
    </w:p>
    <w:p>
      <w:pPr>
        <w:pStyle w:val="ListBullet"/>
      </w:pPr>
      <w:r>
        <w:t>General physicians: lead with the paracetamol counselling point, which is practical and memorable.</w:t>
      </w:r>
    </w:p>
    <w:p>
      <w:pPr>
        <w:pStyle w:val="Heading2"/>
      </w:pPr>
      <w:r>
        <w:t>4. What must not be said</w:t>
      </w:r>
    </w:p>
    <w:p>
      <w:pPr>
        <w:pStyle w:val="ListBullet"/>
      </w:pPr>
      <w:r>
        <w:t>No claim of cirrhosis prevention or mortality benefit.</w:t>
      </w:r>
    </w:p>
    <w:p>
      <w:pPr>
        <w:pStyle w:val="ListBullet"/>
      </w:pPr>
      <w:r>
        <w:t>Not for use in decompensated cirrhosis (Child-Pugh C) under any circumstances.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Hepatoval Detailing Guide — Hepatology</dc:title>
  <dc:subject/>
  <dc:creator>python-docx</dc:creator>
  <cp:keywords/>
  <dc:description>FICTIONAL DEMONSTRATION DOCUMENT — Qorvexa Healthcare is an invented company. This product, its molecule and every clinical statement here are fabricated for software testing. Not medical information. Do not use for any clinical purpose.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