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Objection Handling — General Principles</w:t>
      </w:r>
    </w:p>
    <w:p>
      <w:r>
        <w:rPr>
          <w:i/>
          <w:sz w:val="16"/>
        </w:rPr>
        <w:t>FICTIONAL DEMONSTRATION DOCUMENT — Qorvexa Healthcare is an invented company. This product, its molecule and every clinical statement here are fabricated for software testing. Not medical information. Do not use for any clinical purpose.</w:t>
      </w:r>
    </w:p>
    <w:p>
      <w:r>
        <w:t>Qorvexa Healthcare</w:t>
      </w:r>
    </w:p>
    <w:p>
      <w:pPr>
        <w:pStyle w:val="Heading2"/>
      </w:pPr>
      <w:r>
        <w:t>1. The four-step method</w:t>
      </w:r>
    </w:p>
    <w:p>
      <w:r>
        <w:t>1. Acknowledge the objection in the prescriber's own words. Do not defend immediately.</w:t>
      </w:r>
    </w:p>
    <w:p>
      <w:r>
        <w:t>2. Clarify what is actually being asked. "Expensive" may mean cost to patient, cost to the practice, or perceived value.</w:t>
      </w:r>
    </w:p>
    <w:p>
      <w:r>
        <w:t>3. Respond using only approved material. If you do not have an approved response, say so and raise a Medical Information request.</w:t>
      </w:r>
    </w:p>
    <w:p>
      <w:r>
        <w:t>4. Confirm agreement on a next step before leaving.</w:t>
      </w:r>
    </w:p>
    <w:p>
      <w:pPr>
        <w:pStyle w:val="Heading2"/>
      </w:pPr>
      <w:r>
        <w:t>2. Objections you must not answer yourself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Objection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Required action</w:t>
            </w:r>
          </w:p>
        </w:tc>
      </w:tr>
      <w:tr>
        <w:tc>
          <w:tcPr>
            <w:tcW w:type="dxa" w:w="4320"/>
          </w:tcPr>
          <w:p>
            <w:r>
              <w:t>Any question about unlicensed use or dosing</w:t>
            </w:r>
          </w:p>
        </w:tc>
        <w:tc>
          <w:tcPr>
            <w:tcW w:type="dxa" w:w="4320"/>
          </w:tcPr>
          <w:p>
            <w:r>
              <w:t>Raise a Medical Information request. Do not answer, even if you know the answer.</w:t>
            </w:r>
          </w:p>
        </w:tc>
      </w:tr>
      <w:tr>
        <w:tc>
          <w:tcPr>
            <w:tcW w:type="dxa" w:w="4320"/>
          </w:tcPr>
          <w:p>
            <w:r>
              <w:t>Any question about a specific patient's management</w:t>
            </w:r>
          </w:p>
        </w:tc>
        <w:tc>
          <w:tcPr>
            <w:tcW w:type="dxa" w:w="4320"/>
          </w:tcPr>
          <w:p>
            <w:r>
              <w:t>Decline. Clinical management is the prescriber's decision.</w:t>
            </w:r>
          </w:p>
        </w:tc>
      </w:tr>
      <w:tr>
        <w:tc>
          <w:tcPr>
            <w:tcW w:type="dxa" w:w="4320"/>
          </w:tcPr>
          <w:p>
            <w:r>
              <w:t>Any comparative efficacy claim not in approved material</w:t>
            </w:r>
          </w:p>
        </w:tc>
        <w:tc>
          <w:tcPr>
            <w:tcW w:type="dxa" w:w="4320"/>
          </w:tcPr>
          <w:p>
            <w:r>
              <w:t>Decline and offer the approved comparative summary if one exists.</w:t>
            </w:r>
          </w:p>
        </w:tc>
      </w:tr>
      <w:tr>
        <w:tc>
          <w:tcPr>
            <w:tcW w:type="dxa" w:w="4320"/>
          </w:tcPr>
          <w:p>
            <w:r>
              <w:t>Any report of a suspected adverse event</w:t>
            </w:r>
          </w:p>
        </w:tc>
        <w:tc>
          <w:tcPr>
            <w:tcW w:type="dxa" w:w="4320"/>
          </w:tcPr>
          <w:p>
            <w:r>
              <w:t>Follow the pharmacovigilance SOP. Report within 24 hours. Do not assess causality.</w:t>
            </w:r>
          </w:p>
        </w:tc>
      </w:tr>
    </w:tbl>
    <w:p/>
    <w:p>
      <w:pPr>
        <w:pStyle w:val="Heading2"/>
      </w:pPr>
      <w:r>
        <w:t>3. Segment-based framing</w:t>
      </w:r>
    </w:p>
    <w:p>
      <w:pPr>
        <w:pStyle w:val="ListBullet"/>
      </w:pPr>
      <w:r>
        <w:t>Loyal, high-value prescribers: continuity, supply reliability, patient support. Price last.</w:t>
      </w:r>
    </w:p>
    <w:p>
      <w:pPr>
        <w:pStyle w:val="ListBullet"/>
      </w:pPr>
      <w:r>
        <w:t>Declining prescribers: ask what changed before presenting anything. A declining RCPA usually has a reason the prescriber will tell you if asked.</w:t>
      </w:r>
    </w:p>
    <w:p>
      <w:pPr>
        <w:pStyle w:val="ListBullet"/>
      </w:pPr>
      <w:r>
        <w:t>New prescribers: one message, one product, one next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Objection Handling — General Principles</dc:title>
  <dc:subject/>
  <dc:creator>python-docx</dc:creator>
  <cp:keywords/>
  <dc:description>FICTIONAL DEMONSTRATION DOCUMENT — Qorvexa Healthcare is an invented company. This product, its molecule and every clinical statement here are fabricated for software testing. Not medical information. Do not use for any clinical purpose.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