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requirements a tenant must fulfill under the Punjab Security of Land Tenures Act, 1953, to be eligible to purchase the land they occupy?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7150" cy="66484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does the tenant's right to purchase land under the Punjab Security of Land Tenures Act, 1953, affect ongoing ejectment proceedings?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6715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principle of waiver in the law of preemption?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6677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How is the concept of waiver applied in preemption law?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67341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is the concept of waiver applied in preemption law?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6629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law of preemption, what role does the principle of waiver play?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81425" cy="6677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How does Article 235 of the Constitution empower the High Courts in matters of administrative control over subordinate courts?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771900" cy="66008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authority does Article 235 of the Constitution grant to High Courts regarding administrative control over subordinate courts?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771900" cy="666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what ways does Article 235 of the Constitution empower High Courts to oversee and manage subordinate courts?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810000" cy="6686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