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3. System Architecture &amp; Threat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6" w:space="0" w:color="3B82F6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1E40AF"/>
                <w:sz w:val="19"/>
              </w:rPr>
              <w:t>[Architectural Flowchart / Pipeline Diagram]</w:t>
              <w:br/>
            </w:r>
            <w:r>
              <w:rPr>
                <w:rFonts w:ascii="Consolas" w:hAnsi="Consolas"/>
                <w:color w:val="1E293B"/>
                <w:sz w:val="18"/>
              </w:rPr>
              <w:t>sequenceDiagram</w:t>
              <w:br/>
              <w:t xml:space="preserve">    autonumber</w:t>
              <w:br/>
              <w:t xml:space="preserve">    actor User</w:t>
              <w:br/>
              <w:t xml:space="preserve">    participant Guard as Input Guard &amp; Router</w:t>
              <w:br/>
              <w:t xml:space="preserve">    participant LLM as Local LLM (7B)</w:t>
              <w:br/>
              <w:t xml:space="preserve">    participant Repair as Token Auto-Repair</w:t>
              <w:br/>
              <w:t xml:space="preserve">    participant AST as AST Complexity Gate</w:t>
              <w:br/>
              <w:t xml:space="preserve">    participant Policy as CTE Shadow Policy</w:t>
              <w:br/>
              <w:t xml:space="preserve">    participant DB as Read-Only DB Sandbox</w:t>
              <w:br/>
              <w:t xml:space="preserve">    participant SelfHeal as Self-Healing Loop</w:t>
              <w:br/>
              <w:t xml:space="preserve">    participant Ground as Numeric Grounding</w:t>
              <w:br/>
              <w:br/>
              <w:t xml:space="preserve">    User-&gt;&gt;Guard: Natural Language Question</w:t>
              <w:br/>
              <w:t xml:space="preserve">    Guard-&gt;&gt;Guard: Neutralize Prompt Injections</w:t>
              <w:br/>
              <w:t xml:space="preserve">    Guard-&gt;&gt;LLM: Formatted Prompt + Schema Context</w:t>
              <w:br/>
              <w:t xml:space="preserve">    LLM--&gt;&gt;Guard: Raw Candidate SQL</w:t>
              <w:br/>
              <w:t xml:space="preserve">    Guard-&gt;&gt;Repair: Candidate SQL</w:t>
              <w:br/>
              <w:t xml:space="preserve">    Repair-&gt;&gt;Repair: 6 Algorithmic Repairs (Plural/Singular, FROM, Div)</w:t>
              <w:br/>
              <w:t xml:space="preserve">    Repair-&gt;&gt;AST: Sanitized SQL</w:t>
              <w:br/>
              <w:t xml:space="preserve">    AST-&gt;&gt;AST: Check Depth, Cartesian Products, Disallowed Ops</w:t>
              <w:br/>
              <w:t xml:space="preserve">    alt AST Validation Fails</w:t>
              <w:br/>
              <w:t xml:space="preserve">        AST--&gt;&gt;User: Refuse Query (Safe Error Diagnostic)</w:t>
              <w:br/>
              <w:t xml:space="preserve">    else AST Validation Passes</w:t>
              <w:br/>
              <w:t xml:space="preserve">        AST-&gt;&gt;Policy: Validated SQL</w:t>
              <w:br/>
              <w:t xml:space="preserve">        Policy-&gt;&gt;Policy: Prepend Filtered CTE Shadow Views</w:t>
              <w:br/>
              <w:t xml:space="preserve">        Policy-&gt;&gt;DB: Executed Governed SQL (1,000-Row Cap)</w:t>
              <w:br/>
              <w:t xml:space="preserve">        alt SQLite Execution Error</w:t>
              <w:br/>
              <w:t xml:space="preserve">            DB--&gt;&gt;SelfHeal: Runtime DB Error (e.g., column/alias mismatch)</w:t>
              <w:br/>
              <w:t xml:space="preserve">            SelfHeal-&gt;&gt;LLM: Error Context + Schema Hints (Retry &lt;= 2)</w:t>
              <w:br/>
              <w:t xml:space="preserve">            LLM--&gt;&gt;SelfHeal: Corrected SQL</w:t>
              <w:br/>
              <w:t xml:space="preserve">            SelfHeal-&gt;&gt;DB: Re-execute Corrected SQL</w:t>
              <w:br/>
              <w:t xml:space="preserve">        end</w:t>
              <w:br/>
              <w:t xml:space="preserve">        DB--&gt;&gt;Ground: Result Tuple Multiset</w:t>
              <w:br/>
              <w:t xml:space="preserve">        Ground-&gt;&gt;Ground: Verify Number Token Presence</w:t>
              <w:br/>
              <w:t xml:space="preserve">        Ground--&gt;&gt;User: Verified Natural Language Answer + Provenance</w:t>
              <w:br/>
              <w:t xml:space="preserve">    end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3.1 The Three Core Axioms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>The design of CogniCore is anchored upon three operational invariants: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sz w:val="21"/>
        </w:rPr>
        <w:t>Axiom 1 (Truth):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i/>
          <w:sz w:val="21"/>
        </w:rPr>
        <w:t>The LLM is never the source of truth.</w:t>
      </w:r>
      <w:r>
        <w:rPr>
          <w:rFonts w:ascii="Calibri" w:hAnsi="Calibri"/>
          <w:sz w:val="21"/>
        </w:rPr>
        <w:t xml:space="preserve"> Natural language synthesis is strictly conditioned on tabular evidence produced by the query engine. A post-synthesis tokenizer verifies every number in the output prose against the result set; ungrounded numbers or contradictory statements are automatically stripped and replaced with deterministic tabular summaries.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sz w:val="21"/>
        </w:rPr>
        <w:t>Axiom 2 (Arithmetic):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i/>
          <w:sz w:val="21"/>
        </w:rPr>
        <w:t>The LLM never performs arithmetic.</w:t>
      </w:r>
      <w:r>
        <w:rPr>
          <w:rFonts w:ascii="Calibri" w:hAnsi="Calibri"/>
          <w:sz w:val="21"/>
        </w:rPr>
        <w:t xml:space="preserve"> Prompts explicitly prohibit the model from computing sums, averages, percentages, or margins. All calculations are pushed into SQL expressions (</w:t>
      </w:r>
      <w:r>
        <w:rPr>
          <w:rFonts w:ascii="Consolas" w:hAnsi="Consolas"/>
          <w:color w:val="991B1B"/>
          <w:sz w:val="19"/>
        </w:rPr>
        <w:t>SUM()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991B1B"/>
          <w:sz w:val="19"/>
        </w:rPr>
        <w:t>AVG()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991B1B"/>
          <w:sz w:val="19"/>
        </w:rPr>
        <w:t>CAST(x AS FLOAT) / y</w:t>
      </w:r>
      <w:r>
        <w:rPr>
          <w:rFonts w:ascii="Calibri" w:hAnsi="Calibri"/>
          <w:sz w:val="21"/>
        </w:rPr>
        <w:t>) or deterministic analytical subroutines.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b/>
          <w:sz w:val="21"/>
        </w:rPr>
        <w:t>Axiom 3 (Authorization):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i/>
          <w:sz w:val="21"/>
        </w:rPr>
        <w:t>The LLM never holds authorization.</w:t>
      </w:r>
      <w:r>
        <w:rPr>
          <w:rFonts w:ascii="Calibri" w:hAnsi="Calibri"/>
          <w:sz w:val="21"/>
        </w:rPr>
        <w:t xml:space="preserve"> The user’s identity, role, and tenant scopes are injected via authenticated session tokens. Security rules are applied downstream from the model, ensuring that prompt manipulations cannot bypass security boundaries.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3.2 The Seven-Stage Governed Pipeline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>When a natural-language query enters the system, it traverses seven specialized layers: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sz w:val="21"/>
        </w:rPr>
        <w:t>Input Guard &amp; Semantic Neutralization:</w:t>
      </w:r>
      <w:r>
        <w:rPr>
          <w:rFonts w:ascii="Calibri" w:hAnsi="Calibri"/>
          <w:sz w:val="21"/>
        </w:rPr>
        <w:t xml:space="preserve"> Incoming prompts are screened against known injection patterns (</w:t>
      </w:r>
      <w:r>
        <w:rPr>
          <w:rFonts w:ascii="Consolas" w:hAnsi="Consolas"/>
          <w:color w:val="991B1B"/>
          <w:sz w:val="19"/>
        </w:rPr>
        <w:t>input.guard.js</w:t>
      </w:r>
      <w:r>
        <w:rPr>
          <w:rFonts w:ascii="Calibri" w:hAnsi="Calibri"/>
          <w:sz w:val="21"/>
        </w:rPr>
        <w:t xml:space="preserve">). Untrusted document fragments and prompt injections are bounded within </w:t>
      </w:r>
      <w:r>
        <w:rPr>
          <w:rFonts w:ascii="Consolas" w:hAnsi="Consolas"/>
          <w:color w:val="991B1B"/>
          <w:sz w:val="19"/>
        </w:rPr>
        <w:t>&lt;untrusted_data&gt;</w:t>
      </w:r>
      <w:r>
        <w:rPr>
          <w:rFonts w:ascii="Calibri" w:hAnsi="Calibri"/>
          <w:sz w:val="21"/>
        </w:rPr>
        <w:t xml:space="preserve"> fences.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sz w:val="21"/>
        </w:rPr>
        <w:t>Deterministic Query Routing:</w:t>
      </w:r>
      <w:r>
        <w:rPr>
          <w:rFonts w:ascii="Calibri" w:hAnsi="Calibri"/>
          <w:sz w:val="21"/>
        </w:rPr>
        <w:t xml:space="preserve"> An intent classifier categorizes requests into structured queries, unstructured document retrieval, analytical reporting, or hybrid execution.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sz w:val="21"/>
        </w:rPr>
        <w:t>Semantic Schema Enrichment:</w:t>
      </w:r>
      <w:r>
        <w:rPr>
          <w:rFonts w:ascii="Calibri" w:hAnsi="Calibri"/>
          <w:sz w:val="21"/>
        </w:rPr>
        <w:t xml:space="preserve"> Instead of dumping raw, unorganized DDL into the prompt, the schema enricher injects table descriptions, inferred and declared foreign keys, valid categorical values, and authoritative business metric definitions.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sz w:val="21"/>
        </w:rPr>
        <w:t>Token-Level Algorithmic Auto-Repair:</w:t>
      </w:r>
      <w:r>
        <w:rPr>
          <w:rFonts w:ascii="Calibri" w:hAnsi="Calibri"/>
          <w:sz w:val="21"/>
        </w:rPr>
        <w:t xml:space="preserve"> Candidate SQL from the model passes through six sub-millisecond heuristic repair rules (</w:t>
      </w:r>
      <w:r>
        <w:rPr>
          <w:rFonts w:ascii="Consolas" w:hAnsi="Consolas"/>
          <w:color w:val="991B1B"/>
          <w:sz w:val="19"/>
        </w:rPr>
        <w:t>sql.repair.js</w:t>
      </w:r>
      <w:r>
        <w:rPr>
          <w:rFonts w:ascii="Calibri" w:hAnsi="Calibri"/>
          <w:sz w:val="21"/>
        </w:rPr>
        <w:t>):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Table name inflection (mapping singular guesses to plural tables and vice-versa);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 xml:space="preserve">Missing </w:t>
      </w:r>
      <w:r>
        <w:rPr>
          <w:rFonts w:ascii="Consolas" w:hAnsi="Consolas"/>
          <w:color w:val="991B1B"/>
          <w:sz w:val="19"/>
        </w:rPr>
        <w:t>FROM</w:t>
      </w:r>
      <w:r>
        <w:rPr>
          <w:rFonts w:ascii="Calibri" w:hAnsi="Calibri"/>
          <w:sz w:val="21"/>
        </w:rPr>
        <w:t xml:space="preserve"> clause injection for simple projections;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 xml:space="preserve">Float promotion on integer divisions (e.g., rewriting </w:t>
      </w:r>
      <w:r>
        <w:rPr>
          <w:rFonts w:ascii="Consolas" w:hAnsi="Consolas"/>
          <w:color w:val="991B1B"/>
          <w:sz w:val="19"/>
        </w:rPr>
        <w:t>a / b</w:t>
      </w:r>
      <w:r>
        <w:rPr>
          <w:rFonts w:ascii="Calibri" w:hAnsi="Calibri"/>
          <w:sz w:val="21"/>
        </w:rPr>
        <w:t xml:space="preserve"> to </w:t>
      </w:r>
      <w:r>
        <w:rPr>
          <w:rFonts w:ascii="Consolas" w:hAnsi="Consolas"/>
          <w:color w:val="991B1B"/>
          <w:sz w:val="19"/>
        </w:rPr>
        <w:t>100.0 * a / b</w:t>
      </w:r>
      <w:r>
        <w:rPr>
          <w:rFonts w:ascii="Calibri" w:hAnsi="Calibri"/>
          <w:sz w:val="21"/>
        </w:rPr>
        <w:t xml:space="preserve"> to prevent truncated zero integer results);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Levenshtein-based column identifier alignment;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 xml:space="preserve">Missing </w:t>
      </w:r>
      <w:r>
        <w:rPr>
          <w:rFonts w:ascii="Consolas" w:hAnsi="Consolas"/>
          <w:color w:val="991B1B"/>
          <w:sz w:val="19"/>
        </w:rPr>
        <w:t>GROUP BY</w:t>
      </w:r>
      <w:r>
        <w:rPr>
          <w:rFonts w:ascii="Calibri" w:hAnsi="Calibri"/>
          <w:sz w:val="21"/>
        </w:rPr>
        <w:t xml:space="preserve"> column insertion for mixed aggregate/bare projections;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1"/>
        </w:rPr>
        <w:t>Categorical string literal casing repair against sampled database column profiles.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sz w:val="21"/>
        </w:rPr>
        <w:t>AST Syntax &amp; Complexity Gating:</w:t>
      </w:r>
      <w:r>
        <w:rPr>
          <w:rFonts w:ascii="Calibri" w:hAnsi="Calibri"/>
          <w:sz w:val="21"/>
        </w:rPr>
        <w:t xml:space="preserve"> Queries are parsed into abstract syntax trees using a strict grammar (</w:t>
      </w:r>
      <w:r>
        <w:rPr>
          <w:rFonts w:ascii="Consolas" w:hAnsi="Consolas"/>
          <w:color w:val="991B1B"/>
          <w:sz w:val="19"/>
        </w:rPr>
        <w:t>sql.validator.js</w:t>
      </w:r>
      <w:r>
        <w:rPr>
          <w:rFonts w:ascii="Calibri" w:hAnsi="Calibri"/>
          <w:sz w:val="21"/>
        </w:rPr>
        <w:t>). Destructive operations (</w:t>
      </w:r>
      <w:r>
        <w:rPr>
          <w:rFonts w:ascii="Consolas" w:hAnsi="Consolas"/>
          <w:color w:val="991B1B"/>
          <w:sz w:val="19"/>
        </w:rPr>
        <w:t>DROP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991B1B"/>
          <w:sz w:val="19"/>
        </w:rPr>
        <w:t>DELETE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991B1B"/>
          <w:sz w:val="19"/>
        </w:rPr>
        <w:t>UPDATE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991B1B"/>
          <w:sz w:val="19"/>
        </w:rPr>
        <w:t>INSERT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991B1B"/>
          <w:sz w:val="19"/>
        </w:rPr>
        <w:t>ALTER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991B1B"/>
          <w:sz w:val="19"/>
        </w:rPr>
        <w:t>ATTACH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991B1B"/>
          <w:sz w:val="19"/>
        </w:rPr>
        <w:t>PRAGMA</w:t>
      </w:r>
      <w:r>
        <w:rPr>
          <w:rFonts w:ascii="Calibri" w:hAnsi="Calibri"/>
          <w:sz w:val="21"/>
        </w:rPr>
        <w:t>), chained multiple statements, SQL comment injection delimiters (</w:t>
      </w:r>
      <w:r>
        <w:rPr>
          <w:rFonts w:ascii="Consolas" w:hAnsi="Consolas"/>
          <w:color w:val="991B1B"/>
          <w:sz w:val="19"/>
        </w:rPr>
        <w:t>--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991B1B"/>
          <w:sz w:val="19"/>
        </w:rPr>
        <w:t>/*</w:t>
      </w:r>
      <w:r>
        <w:rPr>
          <w:rFonts w:ascii="Calibri" w:hAnsi="Calibri"/>
          <w:sz w:val="21"/>
        </w:rPr>
        <w:t>), unkeyed Cartesian products (</w:t>
      </w:r>
      <w:r>
        <w:rPr>
          <w:rFonts w:ascii="Consolas" w:hAnsi="Consolas"/>
          <w:color w:val="991B1B"/>
          <w:sz w:val="19"/>
        </w:rPr>
        <w:t>FROM a, b</w:t>
      </w:r>
      <w:r>
        <w:rPr>
          <w:rFonts w:ascii="Calibri" w:hAnsi="Calibri"/>
          <w:sz w:val="21"/>
        </w:rPr>
        <w:t xml:space="preserve"> without join predicates), and nested correlated subqueries exceeding safe depth limits are blocked.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sz w:val="21"/>
        </w:rPr>
        <w:t>Structural Policy Enforcement via CTE Shadowing:</w:t>
      </w:r>
      <w:r>
        <w:rPr>
          <w:rFonts w:ascii="Calibri" w:hAnsi="Calibri"/>
          <w:sz w:val="21"/>
        </w:rPr>
        <w:t xml:space="preserve"> Row-level security (RLS) is applied by rewriting the query. For each table </w:t>
      </w:r>
      <w:r>
        <w:rPr>
          <w:rFonts w:ascii="Cambria Math" w:hAnsi="Cambria Math"/>
          <w:i/>
          <w:sz w:val="21"/>
        </w:rPr>
        <w:t>T</w:t>
      </w:r>
      <w:r>
        <w:rPr>
          <w:rFonts w:ascii="Calibri" w:hAnsi="Calibri"/>
          <w:sz w:val="21"/>
        </w:rPr>
        <w:t xml:space="preserve"> accessed in the query that is subject to row filter condition </w:t>
      </w:r>
      <w:r>
        <w:rPr>
          <w:rFonts w:ascii="Cambria Math" w:hAnsi="Cambria Math"/>
          <w:i/>
          <w:sz w:val="21"/>
        </w:rPr>
        <w:t>P_T(u)</w:t>
      </w:r>
      <w:r>
        <w:rPr>
          <w:rFonts w:ascii="Calibri" w:hAnsi="Calibri"/>
          <w:sz w:val="21"/>
        </w:rPr>
        <w:t xml:space="preserve"> for user </w:t>
      </w:r>
      <w:r>
        <w:rPr>
          <w:rFonts w:ascii="Cambria Math" w:hAnsi="Cambria Math"/>
          <w:i/>
          <w:sz w:val="21"/>
        </w:rPr>
        <w:t>u</w:t>
      </w:r>
      <w:r>
        <w:rPr>
          <w:rFonts w:ascii="Calibri" w:hAnsi="Calibri"/>
          <w:sz w:val="21"/>
        </w:rPr>
        <w:t>, the system prepends a Common Table Expression:</w:t>
      </w:r>
    </w:p>
    <w:p>
      <w:pPr>
        <w:spacing w:before="80" w:after="120"/>
        <w:jc w:val="center"/>
      </w:pPr>
      <w:r>
        <w:rPr>
          <w:rFonts w:ascii="Cambria Math" w:hAnsi="Cambria Math"/>
          <w:i/>
          <w:sz w:val="22"/>
        </w:rPr>
        <w:t>\text{WITH } T \text{ AS (SELECT * FROM main.} T \text{ WHERE } P_T(u)\text{)}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Because all subsequent references to </w:t>
      </w:r>
      <w:r>
        <w:rPr>
          <w:rFonts w:ascii="Cambria Math" w:hAnsi="Cambria Math"/>
          <w:i/>
          <w:sz w:val="21"/>
        </w:rPr>
        <w:t>T</w:t>
      </w:r>
      <w:r>
        <w:rPr>
          <w:rFonts w:ascii="Calibri" w:hAnsi="Calibri"/>
          <w:sz w:val="21"/>
        </w:rPr>
        <w:t xml:space="preserve"> in the user query resolve to the local CTE shadow view rather than the physical table </w:t>
      </w:r>
      <w:r>
        <w:rPr>
          <w:rFonts w:ascii="Consolas" w:hAnsi="Consolas"/>
          <w:color w:val="991B1B"/>
          <w:sz w:val="19"/>
        </w:rPr>
        <w:t>main.T</w:t>
      </w:r>
      <w:r>
        <w:rPr>
          <w:rFonts w:ascii="Calibri" w:hAnsi="Calibri"/>
          <w:sz w:val="21"/>
        </w:rPr>
        <w:t>, unauthorized rows are isolated at the SQLite execution engine level without fragile predicate surgery.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sz w:val="21"/>
        </w:rPr>
        <w:t>Execution Sandbox &amp; Monotonic Self-Healing:</w:t>
      </w:r>
      <w:r>
        <w:rPr>
          <w:rFonts w:ascii="Calibri" w:hAnsi="Calibri"/>
          <w:sz w:val="21"/>
        </w:rPr>
        <w:t xml:space="preserve"> The query is wrapped in a 1,000-row cap wrapper:</w:t>
      </w:r>
    </w:p>
    <w:p>
      <w:pPr>
        <w:spacing w:before="80" w:after="120"/>
        <w:jc w:val="center"/>
      </w:pPr>
      <w:r>
        <w:rPr>
          <w:rFonts w:ascii="Cambria Math" w:hAnsi="Cambria Math"/>
          <w:i/>
          <w:sz w:val="22"/>
        </w:rPr>
        <w:t>\text{SELECT * FROM (} \text{CandidateSQL} \text{) AS \_\_cognicore\_capped LIMIT 1000}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>and executed against a read-only database handle (</w:t>
      </w:r>
      <w:r>
        <w:rPr>
          <w:rFonts w:ascii="Consolas" w:hAnsi="Consolas"/>
          <w:color w:val="991B1B"/>
          <w:sz w:val="19"/>
        </w:rPr>
        <w:t>PRAGMA query_only = ON</w:t>
      </w:r>
      <w:r>
        <w:rPr>
          <w:rFonts w:ascii="Calibri" w:hAnsi="Calibri"/>
          <w:sz w:val="21"/>
        </w:rPr>
        <w:t>). If a recoverable runtime error occurs (e.g., alias confusion or non-existent column reference), the error message and relevant schema hints are passed to a bounded reflection loop (</w:t>
      </w:r>
      <w:r>
        <w:rPr>
          <w:rFonts w:ascii="Cambria Math" w:hAnsi="Cambria Math"/>
          <w:i/>
          <w:sz w:val="21"/>
        </w:rPr>
        <w:t>≤ 2</w:t>
      </w:r>
      <w:r>
        <w:rPr>
          <w:rFonts w:ascii="Calibri" w:hAnsi="Calibri"/>
          <w:sz w:val="21"/>
        </w:rPr>
        <w:t xml:space="preserve"> correction attempts) operating at slightly elevated temperature (</w:t>
      </w:r>
      <w:r>
        <w:rPr>
          <w:rFonts w:ascii="Cambria Math" w:hAnsi="Cambria Math"/>
          <w:i/>
          <w:sz w:val="21"/>
        </w:rPr>
        <w:t>0.2</w:t>
      </w:r>
      <w:r>
        <w:rPr>
          <w:rFonts w:ascii="Calibri" w:hAnsi="Calibri"/>
          <w:sz w:val="21"/>
        </w:rPr>
        <w:t>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