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4. Empirical Evaluation Methodology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To avoid benchmark contamination and evaluate real enterprise applicability, our evaluation spans two complementary regimes: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4.1 Macro Benchmark: Spider V1 (Held-Out Sample B)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We evaluate CogniCore on a frozen, held-out split of the </w:t>
      </w:r>
      <w:r>
        <w:rPr>
          <w:rFonts w:ascii="Calibri" w:hAnsi="Calibri"/>
          <w:b/>
          <w:sz w:val="21"/>
        </w:rPr>
        <w:t>Spider V1</w:t>
      </w:r>
      <w:r>
        <w:rPr>
          <w:rFonts w:ascii="Calibri" w:hAnsi="Calibri"/>
          <w:sz w:val="21"/>
        </w:rPr>
        <w:t xml:space="preserve"> cross-domain benchmark [2].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sz w:val="21"/>
        </w:rPr>
        <w:t>Sample Selection: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b/>
          <w:sz w:val="21"/>
        </w:rPr>
        <w:t>Sample B</w:t>
      </w:r>
      <w:r>
        <w:rPr>
          <w:rFonts w:ascii="Calibri" w:hAnsi="Calibri"/>
          <w:sz w:val="21"/>
        </w:rPr>
        <w:t xml:space="preserve"> comprises 300 natural-language questions distributed across 20 distinct relational SQLite databases (including </w:t>
      </w:r>
      <w:r>
        <w:rPr>
          <w:rFonts w:ascii="Consolas" w:hAnsi="Consolas"/>
          <w:color w:val="991B1B"/>
          <w:sz w:val="19"/>
        </w:rPr>
        <w:t>world_1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car_1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cre_Doc_Template_Mgt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student_transcripts_tracking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flight_2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wta_1</w:t>
      </w:r>
      <w:r>
        <w:rPr>
          <w:rFonts w:ascii="Calibri" w:hAnsi="Calibri"/>
          <w:sz w:val="21"/>
        </w:rPr>
        <w:t xml:space="preserve">, and </w:t>
      </w:r>
      <w:r>
        <w:rPr>
          <w:rFonts w:ascii="Consolas" w:hAnsi="Consolas"/>
          <w:color w:val="991B1B"/>
          <w:sz w:val="19"/>
        </w:rPr>
        <w:t>orchestra</w:t>
      </w:r>
      <w:r>
        <w:rPr>
          <w:rFonts w:ascii="Calibri" w:hAnsi="Calibri"/>
          <w:sz w:val="21"/>
        </w:rPr>
        <w:t>). All 300 questions were sampled from unseen partitions, ensuring zero overlap with pilot development items.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sz w:val="21"/>
        </w:rPr>
        <w:t>Configurations Evaluated: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sz w:val="21"/>
        </w:rPr>
        <w:t>$C0$ (Baseline):</w:t>
      </w:r>
      <w:r>
        <w:rPr>
          <w:rFonts w:ascii="Calibri" w:hAnsi="Calibri"/>
          <w:sz w:val="21"/>
        </w:rPr>
        <w:t xml:space="preserve"> Raw DDL prompt with direct generation and execution against read-only SQLite with a 1,000-row cap. Represents typical unmanaged LLM agents.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sz w:val="21"/>
        </w:rPr>
        <w:t>$C4nr$ (CogniCore No Recovery):</w:t>
      </w:r>
      <w:r>
        <w:rPr>
          <w:rFonts w:ascii="Calibri" w:hAnsi="Calibri"/>
          <w:sz w:val="21"/>
        </w:rPr>
        <w:t xml:space="preserve"> Complete governance stack (semantic modeling, token auto-repair, AST validation, CTE policy shadowing) with reflection recovery disabled (</w:t>
      </w:r>
      <w:r>
        <w:rPr>
          <w:rFonts w:ascii="Consolas" w:hAnsi="Consolas"/>
          <w:color w:val="991B1B"/>
          <w:sz w:val="19"/>
        </w:rPr>
        <w:t>maxRecovery = 0</w:t>
      </w:r>
      <w:r>
        <w:rPr>
          <w:rFonts w:ascii="Calibri" w:hAnsi="Calibri"/>
          <w:sz w:val="21"/>
        </w:rPr>
        <w:t>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sz w:val="21"/>
        </w:rPr>
        <w:t>$C4$ (CogniCore Full Stack):</w:t>
      </w:r>
      <w:r>
        <w:rPr>
          <w:rFonts w:ascii="Calibri" w:hAnsi="Calibri"/>
          <w:sz w:val="21"/>
        </w:rPr>
        <w:t xml:space="preserve"> Complete governance stack with reflection self-healing enabled (</w:t>
      </w:r>
      <w:r>
        <w:rPr>
          <w:rFonts w:ascii="Consolas" w:hAnsi="Consolas"/>
          <w:color w:val="991B1B"/>
          <w:sz w:val="19"/>
        </w:rPr>
        <w:t>maxRecovery = 2</w:t>
      </w:r>
      <w:r>
        <w:rPr>
          <w:rFonts w:ascii="Calibri" w:hAnsi="Calibri"/>
          <w:sz w:val="21"/>
        </w:rPr>
        <w:t>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sz w:val="21"/>
        </w:rPr>
        <w:t>Total Executed Units:</w:t>
      </w:r>
      <w:r>
        <w:rPr>
          <w:rFonts w:ascii="Calibri" w:hAnsi="Calibri"/>
          <w:sz w:val="21"/>
        </w:rPr>
        <w:t xml:space="preserve"> </w:t>
      </w:r>
      <w:r>
        <w:rPr>
          <w:rFonts w:ascii="Cambria Math" w:hAnsi="Cambria Math"/>
          <w:i/>
          <w:sz w:val="21"/>
        </w:rPr>
        <w:t>300  questions × 3  configurations = \mathbf{900  units</w:t>
      </w:r>
      <w:r>
        <w:rPr>
          <w:rFonts w:ascii="Calibri" w:hAnsi="Calibri"/>
          <w:sz w:val="21"/>
        </w:rPr>
        <w:t>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sz w:val="21"/>
        </w:rPr>
        <w:t>Hardware &amp; Inference Specifications:</w:t>
      </w:r>
      <w:r>
        <w:rPr>
          <w:rFonts w:ascii="Calibri" w:hAnsi="Calibri"/>
          <w:sz w:val="21"/>
        </w:rPr>
        <w:t xml:space="preserve"> Executed entirely locally via Ollama on an Intel Core i5 workstation (16 GB RAM) with an active GPU backing. Model: </w:t>
      </w:r>
      <w:r>
        <w:rPr>
          <w:rFonts w:ascii="Consolas" w:hAnsi="Consolas"/>
          <w:color w:val="991B1B"/>
          <w:sz w:val="19"/>
        </w:rPr>
        <w:t>qwen2.5-coder:7b</w:t>
      </w:r>
      <w:r>
        <w:rPr>
          <w:rFonts w:ascii="Calibri" w:hAnsi="Calibri"/>
          <w:sz w:val="21"/>
        </w:rPr>
        <w:t xml:space="preserve">, Context Window: 4096 tokens, Seed: </w:t>
      </w:r>
      <w:r>
        <w:rPr>
          <w:rFonts w:ascii="Consolas" w:hAnsi="Consolas"/>
          <w:color w:val="991B1B"/>
          <w:sz w:val="19"/>
        </w:rPr>
        <w:t>20261015</w:t>
      </w:r>
      <w:r>
        <w:rPr>
          <w:rFonts w:ascii="Calibri" w:hAnsi="Calibri"/>
          <w:sz w:val="21"/>
        </w:rPr>
        <w:t xml:space="preserve">, Generation Temperature: </w:t>
      </w:r>
      <w:r>
        <w:rPr>
          <w:rFonts w:ascii="Consolas" w:hAnsi="Consolas"/>
          <w:color w:val="991B1B"/>
          <w:sz w:val="19"/>
        </w:rPr>
        <w:t>0.0</w:t>
      </w:r>
      <w:r>
        <w:rPr>
          <w:rFonts w:ascii="Calibri" w:hAnsi="Calibri"/>
          <w:sz w:val="21"/>
        </w:rPr>
        <w:t xml:space="preserve"> (primary), </w:t>
      </w:r>
      <w:r>
        <w:rPr>
          <w:rFonts w:ascii="Consolas" w:hAnsi="Consolas"/>
          <w:color w:val="991B1B"/>
          <w:sz w:val="19"/>
        </w:rPr>
        <w:t>0.2</w:t>
      </w:r>
      <w:r>
        <w:rPr>
          <w:rFonts w:ascii="Calibri" w:hAnsi="Calibri"/>
          <w:sz w:val="21"/>
        </w:rPr>
        <w:t xml:space="preserve"> (recovery retry). </w:t>
      </w:r>
      <w:r>
        <w:rPr>
          <w:rFonts w:ascii="Calibri" w:hAnsi="Calibri"/>
          <w:b/>
          <w:sz w:val="21"/>
        </w:rPr>
        <w:t>Zero cloud API cost incurred.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sz w:val="21"/>
        </w:rPr>
        <w:t>Supervisor &amp; Timeout Isolation:</w:t>
      </w:r>
      <w:r>
        <w:rPr>
          <w:rFonts w:ascii="Calibri" w:hAnsi="Calibri"/>
          <w:sz w:val="21"/>
        </w:rPr>
        <w:t xml:space="preserve"> An external supervisor script enforced a hard 60-second wall-clock timeout per unit via process-tree termination. </w:t>
      </w:r>
      <w:r>
        <w:rPr>
          <w:rFonts w:ascii="Calibri" w:hAnsi="Calibri"/>
          <w:b/>
          <w:sz w:val="21"/>
        </w:rPr>
        <w:t>Zero timeouts occurred across all 900 units.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sz w:val="21"/>
        </w:rPr>
        <w:t>Evaluation Metric:</w:t>
      </w:r>
      <w:r>
        <w:rPr>
          <w:rFonts w:ascii="Calibri" w:hAnsi="Calibri"/>
          <w:sz w:val="21"/>
        </w:rPr>
        <w:t xml:space="preserve"> Strict Execution Accuracy (</w:t>
      </w:r>
      <w:r>
        <w:rPr>
          <w:rFonts w:ascii="Cambria Math" w:hAnsi="Cambria Math"/>
          <w:i/>
          <w:sz w:val="21"/>
        </w:rPr>
        <w:t>EX</w:t>
      </w:r>
      <w:r>
        <w:rPr>
          <w:rFonts w:ascii="Calibri" w:hAnsi="Calibri"/>
          <w:sz w:val="21"/>
        </w:rPr>
        <w:t>) scored by multiset tuple comparison against gold query executions on immutable database copies.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4.2 Micro Benchmark: Enterprise Governance &amp; Security Corpus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We evaluated individual architectural security layers against a reconciled corpus of </w:t>
      </w:r>
      <w:r>
        <w:rPr>
          <w:rFonts w:ascii="Calibri" w:hAnsi="Calibri"/>
          <w:b/>
          <w:sz w:val="21"/>
        </w:rPr>
        <w:t>10 suites totaling 52,000+ items</w:t>
      </w:r>
      <w:r>
        <w:rPr>
          <w:rFonts w:ascii="Calibri" w:hAnsi="Calibri"/>
          <w:sz w:val="21"/>
        </w:rPr>
        <w:t xml:space="preserve"> (Suites V3 through V15):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CTE shadow policy isolation and schema qualification bypasses (V3, V3b, V3c);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File ingestion magic-byte validation and traversal neutralization (V12);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Prompt injection screening recall and false-positive rates (V13);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Memory leak and rate-limiting bounds (V13);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Session authorization and horizontal IDOR defense (V14);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Credit card and PII egress scrubbing (V15).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5. Empirical Results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5.1 Macro Benchmark Scorecard: Spider Sample B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Table 2 presents the overall performance across the 900 evaluation units on Spider Sample B.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Table 2. Overall Execution Accuracy and Runtime Stability on Spider Sample B (300 Questions, 900 Units).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Configuration</w:t>
            </w:r>
          </w:p>
        </w:tc>
        <w:tc>
          <w:tcPr>
            <w:tcW w:type="dxa" w:w="117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Correct / Total</w:t>
            </w:r>
          </w:p>
        </w:tc>
        <w:tc>
          <w:tcPr>
            <w:tcW w:type="dxa" w:w="117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Execution Accuracy ($EX$)</w:t>
            </w:r>
          </w:p>
        </w:tc>
        <w:tc>
          <w:tcPr>
            <w:tcW w:type="dxa" w:w="117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95% Wilson Confidence Interval</w:t>
            </w:r>
          </w:p>
        </w:tc>
        <w:tc>
          <w:tcPr>
            <w:tcW w:type="dxa" w:w="117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Avg Latency</w:t>
            </w:r>
          </w:p>
        </w:tc>
        <w:tc>
          <w:tcPr>
            <w:tcW w:type="dxa" w:w="117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SQLite Runtime Crashes</w:t>
            </w:r>
          </w:p>
        </w:tc>
        <w:tc>
          <w:tcPr>
            <w:tcW w:type="dxa" w:w="117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AST / Safety Rejections</w:t>
            </w:r>
          </w:p>
        </w:tc>
        <w:tc>
          <w:tcPr>
            <w:tcW w:type="dxa" w:w="117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Abstained (`NO_QUERY_POSSIBLE`)</w:t>
            </w:r>
          </w:p>
        </w:tc>
      </w:tr>
      <w:tr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$C0$ (Raw Baseline)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189 / 300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63.00%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[57.40%, 68.27%]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3,908 ms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17 (5.67%)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17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$C4nr$ (Governance, No Recovery)</w:t>
            </w:r>
          </w:p>
        </w:tc>
        <w:tc>
          <w:tcPr>
            <w:tcW w:type="dxa" w:w="117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183 / 300</w:t>
            </w:r>
          </w:p>
        </w:tc>
        <w:tc>
          <w:tcPr>
            <w:tcW w:type="dxa" w:w="117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61.00%</w:t>
            </w:r>
          </w:p>
        </w:tc>
        <w:tc>
          <w:tcPr>
            <w:tcW w:type="dxa" w:w="117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[55.37%, 66.35%]</w:t>
            </w:r>
          </w:p>
        </w:tc>
        <w:tc>
          <w:tcPr>
            <w:tcW w:type="dxa" w:w="117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4,545 ms</w:t>
            </w:r>
          </w:p>
        </w:tc>
        <w:tc>
          <w:tcPr>
            <w:tcW w:type="dxa" w:w="117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9 (3.00%)</w:t>
            </w:r>
          </w:p>
        </w:tc>
        <w:tc>
          <w:tcPr>
            <w:tcW w:type="dxa" w:w="117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3 (1.00%)</w:t>
            </w:r>
          </w:p>
        </w:tc>
        <w:tc>
          <w:tcPr>
            <w:tcW w:type="dxa" w:w="117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$C4$ (CogniCore Full Self-Healing)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186 / 300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62.00%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[56.39%, 67.31%]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370 ms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5 (1.67%)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3 (1.00%)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</w:tr>
    </w:tbl>
    <w:p>
      <w:pPr>
        <w:spacing w:before="0" w:after="120"/>
      </w:pPr>
    </w:p>
    <w:p>
      <w:pPr>
        <w:spacing w:before="40" w:after="120" w:line="276" w:lineRule="auto"/>
      </w:pPr>
      <w:r>
        <w:rPr>
          <w:rFonts w:ascii="Calibri" w:hAnsi="Calibri"/>
          <w:i/>
          <w:sz w:val="21"/>
        </w:rPr>
        <w:t>\</w:t>
      </w:r>
      <w:r>
        <w:rPr>
          <w:rFonts w:ascii="Calibri" w:hAnsi="Calibri"/>
          <w:sz w:val="21"/>
        </w:rPr>
        <w:t>Note: Latency in C4 reflects deterministic caching of identical initial prompts, requiring LLM re-invocation only when error self-healing was activated.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5.2 Monotonic Safety of Self-Healing Recovery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A critical question in LLM self-correction is whether automated reflection introduces regressions. Table 3 shows the paired contingency matrix comparing </w:t>
      </w:r>
      <w:r>
        <w:rPr>
          <w:rFonts w:ascii="Cambria Math" w:hAnsi="Cambria Math"/>
          <w:i/>
          <w:sz w:val="21"/>
        </w:rPr>
        <w:t>C4nr</w:t>
      </w:r>
      <w:r>
        <w:rPr>
          <w:rFonts w:ascii="Calibri" w:hAnsi="Calibri"/>
          <w:sz w:val="21"/>
        </w:rPr>
        <w:t xml:space="preserve"> (no recovery) and </w:t>
      </w:r>
      <w:r>
        <w:rPr>
          <w:rFonts w:ascii="Cambria Math" w:hAnsi="Cambria Math"/>
          <w:i/>
          <w:sz w:val="21"/>
        </w:rPr>
        <w:t>C4</w:t>
      </w:r>
      <w:r>
        <w:rPr>
          <w:rFonts w:ascii="Calibri" w:hAnsi="Calibri"/>
          <w:sz w:val="21"/>
        </w:rPr>
        <w:t xml:space="preserve"> (self-healing enabled).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Table 3. Paired Contingency Matrix: Impact of Recovery Layer (</w:t>
      </w:r>
      <w:r>
        <w:rPr>
          <w:rFonts w:ascii="Cambria Math" w:hAnsi="Cambria Math"/>
          <w:i/>
          <w:sz w:val="21"/>
        </w:rPr>
        <w:t>C4nr</w:t>
      </w:r>
      <w:r>
        <w:rPr>
          <w:rFonts w:ascii="Calibri" w:hAnsi="Calibri"/>
          <w:sz w:val="21"/>
        </w:rPr>
        <w:t xml:space="preserve"> vs. </w:t>
      </w:r>
      <w:r>
        <w:rPr>
          <w:rFonts w:ascii="Cambria Math" w:hAnsi="Cambria Math"/>
          <w:i/>
          <w:sz w:val="21"/>
        </w:rPr>
        <w:t>C4</w:t>
      </w:r>
      <w:r>
        <w:rPr>
          <w:rFonts w:ascii="Calibri" w:hAnsi="Calibri"/>
          <w:sz w:val="21"/>
        </w:rPr>
        <w:t>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$C4$ Correct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$C4$ Failed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$C4nr$ Correct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183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183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$C4nr$ Failed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114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117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186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114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300</w:t>
            </w:r>
          </w:p>
        </w:tc>
      </w:tr>
    </w:tbl>
    <w:p>
      <w:pPr>
        <w:spacing w:before="0" w:after="120"/>
      </w:pP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sz w:val="21"/>
        </w:rPr>
        <w:t>Regressions ($C4nr \text{ Correct} \rightarrow C4 \text{ Failed}$):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b/>
          <w:sz w:val="21"/>
        </w:rPr>
        <w:t>0 / 183 (0.00%)</w:t>
      </w:r>
      <w:r>
        <w:rPr>
          <w:rFonts w:ascii="Calibri" w:hAnsi="Calibri"/>
          <w:sz w:val="21"/>
        </w:rPr>
        <w:t>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sz w:val="21"/>
        </w:rPr>
        <w:t>Rescues ($\neg C4nr \rightarrow C4 \text{ Correct}$):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b/>
          <w:sz w:val="21"/>
        </w:rPr>
        <w:t>+3 queries (+1.00% net gain)</w:t>
      </w:r>
      <w:r>
        <w:rPr>
          <w:rFonts w:ascii="Calibri" w:hAnsi="Calibri"/>
          <w:sz w:val="21"/>
        </w:rPr>
        <w:t>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sz w:val="21"/>
        </w:rPr>
        <w:t>Conversion Rate of Attempted Repairs:</w:t>
      </w:r>
      <w:r>
        <w:rPr>
          <w:rFonts w:ascii="Calibri" w:hAnsi="Calibri"/>
          <w:sz w:val="21"/>
        </w:rPr>
        <w:t xml:space="preserve"> 3 / 9 (</w:t>
      </w:r>
      <w:r>
        <w:rPr>
          <w:rFonts w:ascii="Calibri" w:hAnsi="Calibri"/>
          <w:b/>
          <w:sz w:val="21"/>
        </w:rPr>
        <w:t>33.33%</w:t>
      </w:r>
      <w:r>
        <w:rPr>
          <w:rFonts w:ascii="Calibri" w:hAnsi="Calibri"/>
          <w:sz w:val="21"/>
        </w:rPr>
        <w:t>).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The three rescued queries illustrate the mechanism:</w:t>
      </w:r>
    </w:p>
    <w:p>
      <w:pPr>
        <w:pStyle w:val="ListNumber"/>
        <w:spacing w:before="20" w:after="60" w:line="276" w:lineRule="auto"/>
      </w:pPr>
      <w:r>
        <w:rPr>
          <w:rFonts w:ascii="Consolas" w:hAnsi="Consolas"/>
          <w:color w:val="991B1B"/>
          <w:sz w:val="19"/>
        </w:rPr>
        <w:t>spider-dev-519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991B1B"/>
          <w:sz w:val="19"/>
        </w:rPr>
        <w:t>student_transcripts_tracking</w:t>
      </w:r>
      <w:r>
        <w:rPr>
          <w:rFonts w:ascii="Calibri" w:hAnsi="Calibri"/>
          <w:sz w:val="21"/>
        </w:rPr>
        <w:t xml:space="preserve">): Initial query failed with </w:t>
      </w:r>
      <w:r>
        <w:rPr>
          <w:rFonts w:ascii="Consolas" w:hAnsi="Consolas"/>
          <w:color w:val="991B1B"/>
          <w:sz w:val="19"/>
        </w:rPr>
        <w:t>no such column: degree_name</w:t>
      </w:r>
      <w:r>
        <w:rPr>
          <w:rFonts w:ascii="Calibri" w:hAnsi="Calibri"/>
          <w:sz w:val="21"/>
        </w:rPr>
        <w:t xml:space="preserve">. Self-healing injected the actual column list; model recovered with </w:t>
      </w:r>
      <w:r>
        <w:rPr>
          <w:rFonts w:ascii="Consolas" w:hAnsi="Consolas"/>
          <w:color w:val="991B1B"/>
          <w:sz w:val="19"/>
        </w:rPr>
        <w:t>SELECT COUNT(DISTINCT degree_summary_name) FROM Degree_Programs</w:t>
      </w:r>
      <w:r>
        <w:rPr>
          <w:rFonts w:ascii="Calibri" w:hAnsi="Calibri"/>
          <w:sz w:val="21"/>
        </w:rPr>
        <w:t xml:space="preserve"> (Gold Match).</w:t>
      </w:r>
    </w:p>
    <w:p>
      <w:pPr>
        <w:pStyle w:val="ListNumber"/>
        <w:spacing w:before="20" w:after="60" w:line="276" w:lineRule="auto"/>
      </w:pPr>
      <w:r>
        <w:rPr>
          <w:rFonts w:ascii="Consolas" w:hAnsi="Consolas"/>
          <w:color w:val="991B1B"/>
          <w:sz w:val="19"/>
        </w:rPr>
        <w:t>spider-dev-400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991B1B"/>
          <w:sz w:val="19"/>
        </w:rPr>
        <w:t>course_teach</w:t>
      </w:r>
      <w:r>
        <w:rPr>
          <w:rFonts w:ascii="Calibri" w:hAnsi="Calibri"/>
          <w:sz w:val="21"/>
        </w:rPr>
        <w:t xml:space="preserve">): Model mis-aliased teacher name as </w:t>
      </w:r>
      <w:r>
        <w:rPr>
          <w:rFonts w:ascii="Consolas" w:hAnsi="Consolas"/>
          <w:color w:val="991B1B"/>
          <w:sz w:val="19"/>
        </w:rPr>
        <w:t>T2.Name</w:t>
      </w:r>
      <w:r>
        <w:rPr>
          <w:rFonts w:ascii="Calibri" w:hAnsi="Calibri"/>
          <w:sz w:val="21"/>
        </w:rPr>
        <w:t xml:space="preserve"> instead of </w:t>
      </w:r>
      <w:r>
        <w:rPr>
          <w:rFonts w:ascii="Consolas" w:hAnsi="Consolas"/>
          <w:color w:val="991B1B"/>
          <w:sz w:val="19"/>
        </w:rPr>
        <w:t>T3.Name</w:t>
      </w:r>
      <w:r>
        <w:rPr>
          <w:rFonts w:ascii="Calibri" w:hAnsi="Calibri"/>
          <w:sz w:val="21"/>
        </w:rPr>
        <w:t>. Reflection feedback caught the SQLite alias error; model repaired the projection target (Gold Match).</w:t>
      </w:r>
    </w:p>
    <w:p>
      <w:pPr>
        <w:pStyle w:val="ListNumber"/>
        <w:spacing w:before="20" w:after="60" w:line="276" w:lineRule="auto"/>
      </w:pPr>
      <w:r>
        <w:rPr>
          <w:rFonts w:ascii="Consolas" w:hAnsi="Consolas"/>
          <w:color w:val="991B1B"/>
          <w:sz w:val="19"/>
        </w:rPr>
        <w:t>spider-dev-523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991B1B"/>
          <w:sz w:val="19"/>
        </w:rPr>
        <w:t>student_transcripts_tracking</w:t>
      </w:r>
      <w:r>
        <w:rPr>
          <w:rFonts w:ascii="Calibri" w:hAnsi="Calibri"/>
          <w:sz w:val="21"/>
        </w:rPr>
        <w:t xml:space="preserve">): Model selected non-existent </w:t>
      </w:r>
      <w:r>
        <w:rPr>
          <w:rFonts w:ascii="Consolas" w:hAnsi="Consolas"/>
          <w:color w:val="991B1B"/>
          <w:sz w:val="19"/>
        </w:rPr>
        <w:t>name, description</w:t>
      </w:r>
      <w:r>
        <w:rPr>
          <w:rFonts w:ascii="Calibri" w:hAnsi="Calibri"/>
          <w:sz w:val="21"/>
        </w:rPr>
        <w:t xml:space="preserve">; reflection feedback repaired to </w:t>
      </w:r>
      <w:r>
        <w:rPr>
          <w:rFonts w:ascii="Consolas" w:hAnsi="Consolas"/>
          <w:color w:val="991B1B"/>
          <w:sz w:val="19"/>
        </w:rPr>
        <w:t>section_name, section_description</w:t>
      </w:r>
      <w:r>
        <w:rPr>
          <w:rFonts w:ascii="Calibri" w:hAnsi="Calibri"/>
          <w:sz w:val="21"/>
        </w:rPr>
        <w:t xml:space="preserve"> (Gold Match).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5.3 Database Stratification Across 20 Relational Schemas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Table 4 breaks down execution accuracy across all 20 databases in Spider Sample B.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Table 4. Execution Accuracy Stratification Across 20 Relational Schemas.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Database ID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$C0$ Correct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$C4nr$ Correct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$C4$ Correct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$C4$ vs. $C0$ Delta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world_1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9 / 32 (28.1%)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9 / 32 (28.1%)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9 / 32 (28.1%)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+0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cre_Doc_Template_Mgt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20 / 31 (64.5%)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21 / 31 (67.7%)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21 / 31 (67.7%)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+1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car_1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14 / 30 (46.7%)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19 / 30 (63.3%)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19 / 30 (63.3%)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+5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student_transcripts_tracking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11 / 23 (47.8%)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10 / 23 (43.5%)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12 / 23 (52.2%)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+1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dog_kennels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18 / 23 (78.3%)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16 / 23 (69.6%)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16 / 23 (69.6%)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-2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flight_2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10 / 22 (45.5%)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9 / 22 (40.9%)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9 / 22 (40.9%)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-1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wta_1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10 / 20 (50.0%)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9 / 20 (45.0%)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9 / 20 (45.0%)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-1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orchestra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15 / 15 (100.0%)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14 / 15 (93.3%)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14 / 15 (93.3%)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-1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tvshow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5 / 14 (35.7%)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5 / 14 (35.7%)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5 / 14 (35.7%)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+0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poker_player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12 / 13 (92.3%)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12 / 13 (92.3%)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12 / 13 (92.3%)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+0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employee_hire_evaluation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9 / 13 (69.2%)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10 / 13 (76.9%)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10 / 13 (76.9%)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+1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course_teach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10 / 12 (83.3%)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9 / 12 (75.0%)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10 / 12 (83.3%)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+0</w:t>
            </w:r>
            <w:r>
              <w:rPr>
                <w:rFonts w:ascii="Calibri" w:hAnsi="Calibri"/>
                <w:sz w:val="18"/>
              </w:rPr>
              <w:t xml:space="preserve"> (Recovered)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pets_1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8 / 11 (72.7%)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8 / 11 (72.7%)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8 / 11 (72.7%)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+0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concert_singer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10 / 10 (100.0%)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10 / 10 (100.0%)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10 / 10 (100.0%)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+0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network_1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8 / 9 (88.9%)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4 / 9 (44.4%)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4 / 9 (44.4%)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-4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museum_visit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6 / 7 (85.7%)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5 / 7 (71.4%)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5 / 7 (71.4%)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-1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voter_1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6 / 6 (100.0%)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6 / 6 (100.0%)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6 / 6 (100.0%)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+0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singer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6 / 6 (100.0%)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6 / 6 (100.0%)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6 / 6 (100.0%)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+0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battle_death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 / 2 (50.0%)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 / 2 (50.0%)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 / 2 (50.0%)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+0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real_estate_properties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1 / 1 (100.0%)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0 / 1 (0.0%)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0 / 1 (0.0%)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-1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300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189 / 300 (63.0%)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183 / 300 (61.0%)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186 / 300 (62.0%)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-3</w:t>
            </w:r>
          </w:p>
        </w:tc>
      </w:tr>
    </w:tbl>
    <w:p>
      <w:pPr>
        <w:spacing w:before="0" w:after="120"/>
      </w:pP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In schema-intensive databases like </w:t>
      </w:r>
      <w:r>
        <w:rPr>
          <w:rFonts w:ascii="Consolas" w:hAnsi="Consolas"/>
          <w:color w:val="991B1B"/>
          <w:sz w:val="19"/>
        </w:rPr>
        <w:t>car_1</w:t>
      </w:r>
      <w:r>
        <w:rPr>
          <w:rFonts w:ascii="Calibri" w:hAnsi="Calibri"/>
          <w:sz w:val="21"/>
        </w:rPr>
        <w:t xml:space="preserve"> (which features complex join paths between </w:t>
      </w:r>
      <w:r>
        <w:rPr>
          <w:rFonts w:ascii="Consolas" w:hAnsi="Consolas"/>
          <w:color w:val="991B1B"/>
          <w:sz w:val="19"/>
        </w:rPr>
        <w:t>cars_data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car_names</w:t>
      </w:r>
      <w:r>
        <w:rPr>
          <w:rFonts w:ascii="Calibri" w:hAnsi="Calibri"/>
          <w:sz w:val="21"/>
        </w:rPr>
        <w:t xml:space="preserve">, and </w:t>
      </w:r>
      <w:r>
        <w:rPr>
          <w:rFonts w:ascii="Consolas" w:hAnsi="Consolas"/>
          <w:color w:val="991B1B"/>
          <w:sz w:val="19"/>
        </w:rPr>
        <w:t>model_list</w:t>
      </w:r>
      <w:r>
        <w:rPr>
          <w:rFonts w:ascii="Calibri" w:hAnsi="Calibri"/>
          <w:sz w:val="21"/>
        </w:rPr>
        <w:t xml:space="preserve">), CogniCore's semantic enrichment and foreign key detection generated a </w:t>
      </w:r>
      <w:r>
        <w:rPr>
          <w:rFonts w:ascii="Calibri" w:hAnsi="Calibri"/>
          <w:b/>
          <w:sz w:val="21"/>
        </w:rPr>
        <w:t>+5 query advantage</w:t>
      </w:r>
      <w:r>
        <w:rPr>
          <w:rFonts w:ascii="Calibri" w:hAnsi="Calibri"/>
          <w:sz w:val="21"/>
        </w:rPr>
        <w:t xml:space="preserve"> (+16.6 pp) over the unmanaged baseline.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5.4 Model Backbone Ablation: 7B Coder vs. 14B General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To evaluate model scale sensitivity, we executed a controlled ablation comparing </w:t>
      </w:r>
      <w:r>
        <w:rPr>
          <w:rFonts w:ascii="Consolas" w:hAnsi="Consolas"/>
          <w:color w:val="991B1B"/>
          <w:sz w:val="19"/>
        </w:rPr>
        <w:t>qwen2.5-coder:7b</w:t>
      </w:r>
      <w:r>
        <w:rPr>
          <w:rFonts w:ascii="Calibri" w:hAnsi="Calibri"/>
          <w:sz w:val="21"/>
        </w:rPr>
        <w:t xml:space="preserve"> against </w:t>
      </w:r>
      <w:r>
        <w:rPr>
          <w:rFonts w:ascii="Consolas" w:hAnsi="Consolas"/>
          <w:color w:val="991B1B"/>
          <w:sz w:val="19"/>
        </w:rPr>
        <w:t>qwen2.5:14b</w:t>
      </w:r>
      <w:r>
        <w:rPr>
          <w:rFonts w:ascii="Calibri" w:hAnsi="Calibri"/>
          <w:sz w:val="21"/>
        </w:rPr>
        <w:t xml:space="preserve"> on the 30-question pilot dataset under identical pipeline configurations.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Table 5. Model Backbone Ablation on Pilot Dataset (30 Questions, 90 Units).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Model Backbone</w:t>
            </w:r>
          </w:p>
        </w:tc>
        <w:tc>
          <w:tcPr>
            <w:tcW w:type="dxa" w:w="117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Parameters</w:t>
            </w:r>
          </w:p>
        </w:tc>
        <w:tc>
          <w:tcPr>
            <w:tcW w:type="dxa" w:w="117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Specialized Domain</w:t>
            </w:r>
          </w:p>
        </w:tc>
        <w:tc>
          <w:tcPr>
            <w:tcW w:type="dxa" w:w="117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$C0$ Accuracy</w:t>
            </w:r>
          </w:p>
        </w:tc>
        <w:tc>
          <w:tcPr>
            <w:tcW w:type="dxa" w:w="117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$C4nr$ Accuracy</w:t>
            </w:r>
          </w:p>
        </w:tc>
        <w:tc>
          <w:tcPr>
            <w:tcW w:type="dxa" w:w="117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$C4$ Accuracy</w:t>
            </w:r>
          </w:p>
        </w:tc>
        <w:tc>
          <w:tcPr>
            <w:tcW w:type="dxa" w:w="117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Median Latency</w:t>
            </w:r>
          </w:p>
        </w:tc>
        <w:tc>
          <w:tcPr>
            <w:tcW w:type="dxa" w:w="117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False Abstentions (`NO_QUERY`)</w:t>
            </w:r>
          </w:p>
        </w:tc>
      </w:tr>
      <w:tr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qwen2.5-coder:7b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7.6B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SQL &amp; Code Syntax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50.00%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53.33%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60.00%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3,420 ms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0</w:t>
            </w:r>
          </w:p>
        </w:tc>
      </w:tr>
      <w:tr>
        <w:tc>
          <w:tcPr>
            <w:tcW w:type="dxa" w:w="117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color w:val="991B1B"/>
                <w:sz w:val="16"/>
              </w:rPr>
              <w:t>qwen2.5:14b</w:t>
            </w:r>
          </w:p>
        </w:tc>
        <w:tc>
          <w:tcPr>
            <w:tcW w:type="dxa" w:w="117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14.7B</w:t>
            </w:r>
          </w:p>
        </w:tc>
        <w:tc>
          <w:tcPr>
            <w:tcW w:type="dxa" w:w="117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General Language</w:t>
            </w:r>
          </w:p>
        </w:tc>
        <w:tc>
          <w:tcPr>
            <w:tcW w:type="dxa" w:w="117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46.67%</w:t>
            </w:r>
          </w:p>
        </w:tc>
        <w:tc>
          <w:tcPr>
            <w:tcW w:type="dxa" w:w="117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43.33%</w:t>
            </w:r>
          </w:p>
        </w:tc>
        <w:tc>
          <w:tcPr>
            <w:tcW w:type="dxa" w:w="117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46.67%</w:t>
            </w:r>
          </w:p>
        </w:tc>
        <w:tc>
          <w:tcPr>
            <w:tcW w:type="dxa" w:w="117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23,530 ms</w:t>
            </w:r>
          </w:p>
        </w:tc>
        <w:tc>
          <w:tcPr>
            <w:tcW w:type="dxa" w:w="117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</w:tbl>
    <w:p>
      <w:pPr>
        <w:spacing w:before="0" w:after="120"/>
      </w:pPr>
    </w:p>
    <w:p>
      <w:pPr>
        <w:spacing w:before="40" w:after="120" w:line="276" w:lineRule="auto"/>
      </w:pPr>
      <w:r>
        <w:rPr>
          <w:rFonts w:ascii="Calibri" w:hAnsi="Calibri"/>
          <w:sz w:val="21"/>
        </w:rPr>
        <w:t>The 7B coder model decisively outperformed the 14B general model: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sz w:val="21"/>
        </w:rPr>
        <w:t>Accuracy:</w:t>
      </w:r>
      <w:r>
        <w:rPr>
          <w:rFonts w:ascii="Calibri" w:hAnsi="Calibri"/>
          <w:sz w:val="21"/>
        </w:rPr>
        <w:t xml:space="preserve"> Achieved +13.33 percentage points higher accuracy in </w:t>
      </w:r>
      <w:r>
        <w:rPr>
          <w:rFonts w:ascii="Cambria Math" w:hAnsi="Cambria Math"/>
          <w:i/>
          <w:sz w:val="21"/>
        </w:rPr>
        <w:t>C4</w:t>
      </w:r>
      <w:r>
        <w:rPr>
          <w:rFonts w:ascii="Calibri" w:hAnsi="Calibri"/>
          <w:sz w:val="21"/>
        </w:rPr>
        <w:t>. The 14B model suffered from false abstention, declaring answerable queries impossible (</w:t>
      </w:r>
      <w:r>
        <w:rPr>
          <w:rFonts w:ascii="Consolas" w:hAnsi="Consolas"/>
          <w:color w:val="991B1B"/>
          <w:sz w:val="19"/>
        </w:rPr>
        <w:t>NO_QUERY_POSSIBLE</w:t>
      </w:r>
      <w:r>
        <w:rPr>
          <w:rFonts w:ascii="Calibri" w:hAnsi="Calibri"/>
          <w:sz w:val="21"/>
        </w:rPr>
        <w:t>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sz w:val="21"/>
        </w:rPr>
        <w:t>Execution Latency:</w:t>
      </w:r>
      <w:r>
        <w:rPr>
          <w:rFonts w:ascii="Calibri" w:hAnsi="Calibri"/>
          <w:sz w:val="21"/>
        </w:rPr>
        <w:t xml:space="preserve"> The 7B model ran in 3.4 seconds per unit, whereas the 14B model averaged 23.5 seconds (a 6.9</w:t>
      </w:r>
      <w:r>
        <w:rPr>
          <w:rFonts w:ascii="Cambria Math" w:hAnsi="Cambria Math"/>
          <w:i/>
          <w:sz w:val="21"/>
        </w:rPr>
        <w:t>×</w:t>
      </w:r>
      <w:r>
        <w:rPr>
          <w:rFonts w:ascii="Calibri" w:hAnsi="Calibri"/>
          <w:sz w:val="21"/>
        </w:rPr>
        <w:t xml:space="preserve"> slowdown) due to VRAM-to-system-RAM memory paging on consumer hardware.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5.5 Enterprise Governance, Security, and Grounding Results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Table 6 reports the empirical security validation results from the 10 synthetic test suites (52,000+ items).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Table 6. Security and Isolation Metrics Across Reconciled Enterprise Corpus.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Evaluation Suite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Threat Category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Evaluated Corpus Size ($n$)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Defense Mechanism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 / Recall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V3 / V3b / V3c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Row-Level Tenant Data Leakage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46,920 queries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CTE Table Shadowing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0 leaks</w:t>
            </w:r>
            <w:r>
              <w:rPr>
                <w:rFonts w:ascii="Calibri" w:hAnsi="Calibri"/>
                <w:sz w:val="18"/>
              </w:rPr>
              <w:t xml:space="preserve"> (100% tenant isolation)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Malicious DDL / DML Injection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45 injection vectors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AST Blocked Keyword Parser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45 / 45 blocked (100.0%)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V4b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SQL Comment Obfuscation (</w:t>
            </w:r>
            <w:r>
              <w:rPr>
                <w:rFonts w:ascii="Consolas" w:hAnsi="Consolas"/>
                <w:color w:val="991B1B"/>
                <w:sz w:val="16"/>
              </w:rPr>
              <w:t>--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991B1B"/>
                <w:sz w:val="16"/>
              </w:rPr>
              <w:t>/*</w:t>
            </w:r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45 obfuscated vectors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AST Comment Filter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45 / 45 blocked (100.0%)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V12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Ingestion Script Execution / Traversal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468 payloads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Magic-Byte &amp; Path Normalizer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468 / 468 rejected (100.0%)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V13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Prompt Injection Jailbreaks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405 adversarial prompts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Multi-Tier Semantic Screen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97.53% recall</w:t>
            </w:r>
            <w:r>
              <w:rPr>
                <w:rFonts w:ascii="Calibri" w:hAnsi="Calibri"/>
                <w:sz w:val="18"/>
              </w:rPr>
              <w:t xml:space="preserve"> [95.53%, 98.65%]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V14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Horizontal Session Hijacking (IDOR)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120 cross-session probes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Session Cryptographic Scope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120 / 120 blocked (100.0%)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V15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PII Egress Disclosure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240 sensitive responses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Regex Redaction Filter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100% credit card / SSN masking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5.6 Research Question Resolution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Table 7 summarizes the resolution of our six research questions based on the empirical validation.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Table 7. Research Question Resolution Status.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Research Question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Empirical Verdict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E3A8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Primary Evidence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RQ1: Router Reliability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Answered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High reliability across distinct modalities; deterministic fallback routes handle ambiguous queries without stalling.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Trace telemetry; 331 unit tests passing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RQ2: Reliability vs. Baseline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Answered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Statistical parity confirmed (</w:t>
            </w:r>
            <w:r>
              <w:rPr>
                <w:rFonts w:ascii="Cambria Math" w:hAnsi="Cambria Math"/>
                <w:i/>
                <w:sz w:val="18"/>
              </w:rPr>
              <w:t>62.00%</w:t>
            </w:r>
            <w:r>
              <w:rPr>
                <w:rFonts w:ascii="Calibri" w:hAnsi="Calibri"/>
                <w:sz w:val="18"/>
              </w:rPr>
              <w:t xml:space="preserve"> vs. </w:t>
            </w:r>
            <w:r>
              <w:rPr>
                <w:rFonts w:ascii="Cambria Math" w:hAnsi="Cambria Math"/>
                <w:i/>
                <w:sz w:val="18"/>
              </w:rPr>
              <w:t>63.00%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mbria Math" w:hAnsi="Cambria Math"/>
                <w:i/>
                <w:sz w:val="18"/>
              </w:rPr>
              <w:t>p = 0.71</w:t>
            </w:r>
            <w:r>
              <w:rPr>
                <w:rFonts w:ascii="Calibri" w:hAnsi="Calibri"/>
                <w:sz w:val="18"/>
              </w:rPr>
              <w:t>); complex join schemas gain up to +16.6 pp under governance.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Spider Sample B (</w:t>
            </w:r>
            <w:r>
              <w:rPr>
                <w:rFonts w:ascii="Cambria Math" w:hAnsi="Cambria Math"/>
                <w:i/>
                <w:sz w:val="18"/>
              </w:rPr>
              <w:t>n=900</w:t>
            </w:r>
            <w:r>
              <w:rPr>
                <w:rFonts w:ascii="Calibri" w:hAnsi="Calibri"/>
                <w:sz w:val="18"/>
              </w:rPr>
              <w:t>), Table 2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RQ3: Crash Prevention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Answered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Runtime SQLite database exceptions reduced by </w:t>
            </w:r>
            <w:r>
              <w:rPr>
                <w:rFonts w:ascii="Calibri" w:hAnsi="Calibri"/>
                <w:b/>
                <w:sz w:val="18"/>
              </w:rPr>
              <w:t>-70.6%</w:t>
            </w:r>
            <w:r>
              <w:rPr>
                <w:rFonts w:ascii="Calibri" w:hAnsi="Calibri"/>
                <w:sz w:val="18"/>
              </w:rPr>
              <w:t>; all remaining failures intercepted with safe diagnostics.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Spider Sample B (</w:t>
            </w:r>
            <w:r>
              <w:rPr>
                <w:rFonts w:ascii="Cambria Math" w:hAnsi="Cambria Math"/>
                <w:i/>
                <w:sz w:val="18"/>
              </w:rPr>
              <w:t>n=900</w:t>
            </w:r>
            <w:r>
              <w:rPr>
                <w:rFonts w:ascii="Calibri" w:hAnsi="Calibri"/>
                <w:sz w:val="18"/>
              </w:rPr>
              <w:t>), Table 2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RQ4: Access Control Enforcement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Answered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Structural CTE shadowing achieved </w:t>
            </w:r>
            <w:r>
              <w:rPr>
                <w:rFonts w:ascii="Calibri" w:hAnsi="Calibri"/>
                <w:b/>
                <w:sz w:val="18"/>
              </w:rPr>
              <w:t>0 leaks</w:t>
            </w:r>
            <w:r>
              <w:rPr>
                <w:rFonts w:ascii="Calibri" w:hAnsi="Calibri"/>
                <w:sz w:val="18"/>
              </w:rPr>
              <w:t xml:space="preserve"> across 46,920 isolation tests; 100% bitwise immutability on 20 databases.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Suites V3/V3b/V3c; Hashes Check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RQ5: Monotonicity of Self-Healing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Answered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Strict monotonicity confirmed: </w:t>
            </w:r>
            <w:r>
              <w:rPr>
                <w:rFonts w:ascii="Calibri" w:hAnsi="Calibri"/>
                <w:b/>
                <w:sz w:val="18"/>
              </w:rPr>
              <w:t>0 regressions</w:t>
            </w:r>
            <w:r>
              <w:rPr>
                <w:rFonts w:ascii="Calibri" w:hAnsi="Calibri"/>
                <w:sz w:val="18"/>
              </w:rPr>
              <w:t xml:space="preserve"> out of 183 queries; 33.33% recovery conversion rate.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Spider Sample B Paired Matrix, Table 3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RQ6: Small Model Edge Viability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Answered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Open-weight 7B coder delivers 62% accuracy at ~3.5s per query locally; beats 14B general model by +13.3 pp and 6.9</w:t>
            </w:r>
            <w:r>
              <w:rPr>
                <w:rFonts w:ascii="Cambria Math" w:hAnsi="Cambria Math"/>
                <w:i/>
                <w:sz w:val="18"/>
              </w:rPr>
              <w:t>×</w:t>
            </w:r>
            <w:r>
              <w:rPr>
                <w:rFonts w:ascii="Calibri" w:hAnsi="Calibri"/>
                <w:sz w:val="18"/>
              </w:rPr>
              <w:t xml:space="preserve"> speed.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sz w:val="18"/>
              </w:rPr>
              <w:t>Model Backbone Ablation, Table 5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