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Discussion and Practical Implications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6.1 The "Zero-Tax" Governance Finding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A long-standing belief in software engineering for AI is that imposing security boundaries, AST validation, and query restrictions necessarily degrades model utility. Our results refute this assumption in Text-to-SQL:</w:t>
      </w:r>
    </w:p>
    <w:p>
      <w:pPr>
        <w:spacing w:before="80" w:after="120"/>
        <w:jc w:val="center"/>
      </w:pPr>
      <w:r>
        <w:rPr>
          <w:rFonts w:ascii="Cambria Math" w:hAnsi="Cambria Math"/>
          <w:i/>
          <w:sz w:val="22"/>
        </w:rPr>
        <w:t>\Delta EX = EX(C4) - EX(C0) = 62.00\% - 63.00\% = -1.00\% \quad (p = 0.71)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The 1.00% difference is statistically insignificant. In exchange for this negligible variation, the enterprise gains: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Complete mathematical certainty that no write operations (</w:t>
      </w:r>
      <w:r>
        <w:rPr>
          <w:rFonts w:ascii="Consolas" w:hAnsi="Consolas"/>
          <w:color w:val="991B1B"/>
          <w:sz w:val="19"/>
        </w:rPr>
        <w:t>DROP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DELETE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991B1B"/>
          <w:sz w:val="19"/>
        </w:rPr>
        <w:t>UPDATE</w:t>
      </w:r>
      <w:r>
        <w:rPr>
          <w:rFonts w:ascii="Calibri" w:hAnsi="Calibri"/>
          <w:sz w:val="21"/>
        </w:rPr>
        <w:t>) can execute;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Complete structural containment of cross-tenant row-level access;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Elimination of 70.6% of unhandled database crashes;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Containment within a 1,000-row result buffer to prevent memory exhaustion.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6.2 Monotonic Self-Healing in Small Language Models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Recent work by Huang et al. [ICLR 2024] showed that large models often struggle to self-correct reasoning because attempts to fix errors inadvertently corrupt correct logic. In CogniCore, self-healing is strictly monotonic (0 regressions out of 183 queries).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This stability is achieved because: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 xml:space="preserve">Self-healing is triggered </w:t>
      </w:r>
      <w:r>
        <w:rPr>
          <w:rFonts w:ascii="Calibri" w:hAnsi="Calibri"/>
          <w:b/>
          <w:sz w:val="21"/>
        </w:rPr>
        <w:t>only upon physical execution errors</w:t>
      </w:r>
      <w:r>
        <w:rPr>
          <w:rFonts w:ascii="Calibri" w:hAnsi="Calibri"/>
          <w:sz w:val="21"/>
        </w:rPr>
        <w:t xml:space="preserve"> reported by the database engine (e.g., </w:t>
      </w:r>
      <w:r>
        <w:rPr>
          <w:rFonts w:ascii="Consolas" w:hAnsi="Consolas"/>
          <w:color w:val="991B1B"/>
          <w:sz w:val="19"/>
        </w:rPr>
        <w:t>no such column</w:t>
      </w:r>
      <w:r>
        <w:rPr>
          <w:rFonts w:ascii="Calibri" w:hAnsi="Calibri"/>
          <w:sz w:val="21"/>
        </w:rPr>
        <w:t>), never on stylistic or speculative grounds;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The reflection prompt receives the exact SQLite error string alongside the true discovered schema;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sz w:val="21"/>
        </w:rPr>
        <w:t>If the model fails to produce a working query after 2 bounded attempts, the system declines gracefully rather than guessing.</w:t>
      </w:r>
    </w:p>
    <w:p>
      <w:pPr>
        <w:keepNext/>
        <w:spacing w:before="240" w:after="80"/>
      </w:pPr>
      <w:r>
        <w:rPr>
          <w:rFonts w:ascii="Calibri" w:hAnsi="Calibri"/>
          <w:b/>
          <w:color w:val="2563EB"/>
          <w:sz w:val="24"/>
        </w:rPr>
        <w:t>6.3 Local-First Edge Viability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Deploying Text-to-SQL within enterprises frequently stalls due to cloud data sovereignty restrictions: organizations refuse to transmit customer schemas and query parameters across third-party cloud APIs. By demonstrating that an open-weight 7B model running on a commodity workstation achieves 62% accuracy while completely eliminating external egress, CogniCore proves the viability of private, on-premise AI data copilot deployments.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7. Limitations &amp; Threats to Validity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Schema Context Window Scaling:</w:t>
      </w:r>
      <w:r>
        <w:rPr>
          <w:rFonts w:ascii="Calibri" w:hAnsi="Calibri"/>
          <w:sz w:val="21"/>
        </w:rPr>
        <w:t xml:space="preserve"> CogniCore serializes discovered table schemas into the LLM context prompt. While effective for databases with </w:t>
      </w:r>
      <w:r>
        <w:rPr>
          <w:rFonts w:ascii="Cambria Math" w:hAnsi="Cambria Math"/>
          <w:i/>
          <w:sz w:val="21"/>
        </w:rPr>
        <w:t>≤ 20</w:t>
      </w:r>
      <w:r>
        <w:rPr>
          <w:rFonts w:ascii="Calibri" w:hAnsi="Calibri"/>
          <w:sz w:val="21"/>
        </w:rPr>
        <w:t xml:space="preserve"> tables, enterprise schemas with hundreds of tables will overflow standard 4,096-token context windows, requiring dynamic vector-based schema pruning (e.g., CHESS [10]).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Regex-Based PII Sensitivity:</w:t>
      </w:r>
      <w:r>
        <w:rPr>
          <w:rFonts w:ascii="Calibri" w:hAnsi="Calibri"/>
          <w:sz w:val="21"/>
        </w:rPr>
        <w:t xml:space="preserve"> Egress PII masking currently utilizes high-precision regular expressions. While achieving 100% recall on credit cards and structured IDs, it exhibits lower recall on unstructured personal names in conversational text.</w:t>
      </w:r>
    </w:p>
    <w:p>
      <w:pPr>
        <w:pStyle w:val="ListNumber"/>
        <w:spacing w:before="20" w:after="60" w:line="276" w:lineRule="auto"/>
      </w:pPr>
      <w:r>
        <w:rPr>
          <w:rFonts w:ascii="Calibri" w:hAnsi="Calibri"/>
          <w:b/>
          <w:sz w:val="21"/>
        </w:rPr>
        <w:t>Database Dialect Coverage:</w:t>
      </w:r>
      <w:r>
        <w:rPr>
          <w:rFonts w:ascii="Calibri" w:hAnsi="Calibri"/>
          <w:sz w:val="21"/>
        </w:rPr>
        <w:t xml:space="preserve"> While CogniCore’s AST parser and connection managers support PostgreSQL and MySQL, the empirical Spider Sample B benchmark was evaluated exclusively on SQLite.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8. Conclusion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We presented </w:t>
      </w:r>
      <w:r>
        <w:rPr>
          <w:rFonts w:ascii="Calibri" w:hAnsi="Calibri"/>
          <w:b/>
          <w:sz w:val="21"/>
        </w:rPr>
        <w:t>CogniCore</w:t>
      </w:r>
      <w:r>
        <w:rPr>
          <w:rFonts w:ascii="Calibri" w:hAnsi="Calibri"/>
          <w:sz w:val="21"/>
        </w:rPr>
        <w:t>, a domain-agnostic, local-first enterprise natural-language-to-SQL copilot governed by three enforceable axioms: the LLM is never the source of truth, never performs arithmetic, and never holds authorization.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Through an extensive empirical evaluation across 900 units on the held-out Spider Sample B benchmark and over 52,000 synthetic security vectors, we demonstrated that structural CTE shadowing, token-level auto-repair, and feedback-guided self-healing achieve </w:t>
      </w:r>
      <w:r>
        <w:rPr>
          <w:rFonts w:ascii="Calibri" w:hAnsi="Calibri"/>
          <w:b/>
          <w:sz w:val="21"/>
        </w:rPr>
        <w:t>62.00% execution accuracy</w:t>
      </w:r>
      <w:r>
        <w:rPr>
          <w:rFonts w:ascii="Calibri" w:hAnsi="Calibri"/>
          <w:sz w:val="21"/>
        </w:rPr>
        <w:t xml:space="preserve"> on local 7B models, reduce runtime database crashes by </w:t>
      </w:r>
      <w:r>
        <w:rPr>
          <w:rFonts w:ascii="Calibri" w:hAnsi="Calibri"/>
          <w:b/>
          <w:sz w:val="21"/>
        </w:rPr>
        <w:t>70.6%</w:t>
      </w:r>
      <w:r>
        <w:rPr>
          <w:rFonts w:ascii="Calibri" w:hAnsi="Calibri"/>
          <w:sz w:val="21"/>
        </w:rPr>
        <w:t xml:space="preserve">, guarantee </w:t>
      </w:r>
      <w:r>
        <w:rPr>
          <w:rFonts w:ascii="Calibri" w:hAnsi="Calibri"/>
          <w:b/>
          <w:sz w:val="21"/>
        </w:rPr>
        <w:t>zero regressions in self-healing</w:t>
      </w:r>
      <w:r>
        <w:rPr>
          <w:rFonts w:ascii="Calibri" w:hAnsi="Calibri"/>
          <w:sz w:val="21"/>
        </w:rPr>
        <w:t xml:space="preserve">, and ensure </w:t>
      </w:r>
      <w:r>
        <w:rPr>
          <w:rFonts w:ascii="Calibri" w:hAnsi="Calibri"/>
          <w:b/>
          <w:sz w:val="21"/>
        </w:rPr>
        <w:t>100% bitwise database immutability</w:t>
      </w:r>
      <w:r>
        <w:rPr>
          <w:rFonts w:ascii="Calibri" w:hAnsi="Calibri"/>
          <w:sz w:val="21"/>
        </w:rPr>
        <w:t>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>By proving that enterprise-grade security and containment can be enforced without sacrificing task accuracy, CogniCore establishes a practical, reproducible foundation for trustworthy, on-premise AI data analytics.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References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[1] V. Zhong, C. Xiong, and R. Socher, "Seq2SQL: Generating Structured Queries from Natural Language Using Reinforcement Learning," </w:t>
      </w:r>
      <w:r>
        <w:rPr>
          <w:rFonts w:ascii="Calibri" w:hAnsi="Calibri"/>
          <w:i/>
          <w:sz w:val="21"/>
        </w:rPr>
        <w:t>arXiv:1709.00103</w:t>
      </w:r>
      <w:r>
        <w:rPr>
          <w:rFonts w:ascii="Calibri" w:hAnsi="Calibri"/>
          <w:sz w:val="21"/>
        </w:rPr>
        <w:t>, 2017.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[2] T. Yu, R. Zhang, K. Yang, et al., "Spider: A Large-Scale Human-Labeled Dataset for Complex and Cross-Domain Semantic Parsing and Text-to-SQL Task," </w:t>
      </w:r>
      <w:r>
        <w:rPr>
          <w:rFonts w:ascii="Calibri" w:hAnsi="Calibri"/>
          <w:i/>
          <w:sz w:val="21"/>
        </w:rPr>
        <w:t>Proc. EMNLP</w:t>
      </w:r>
      <w:r>
        <w:rPr>
          <w:rFonts w:ascii="Calibri" w:hAnsi="Calibri"/>
          <w:sz w:val="21"/>
        </w:rPr>
        <w:t>, pp. 3911–3921, 2018.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[3] J. Li, B. Hui, G. Qu, et al., "Can LLM Already Serve as a Database Interface? A Big Bench for Large-Scale Database Grounded Text-to-SQLs," </w:t>
      </w:r>
      <w:r>
        <w:rPr>
          <w:rFonts w:ascii="Calibri" w:hAnsi="Calibri"/>
          <w:i/>
          <w:sz w:val="21"/>
        </w:rPr>
        <w:t>NeurIPS 36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[4] F. Lei, J. Chen, Y. Ye, et al., "Spider 2.0: Evaluating Language Models on Real-World Enterprise Text-to-SQL Workflows," </w:t>
      </w:r>
      <w:r>
        <w:rPr>
          <w:rFonts w:ascii="Calibri" w:hAnsi="Calibri"/>
          <w:i/>
          <w:sz w:val="21"/>
        </w:rPr>
        <w:t>Proc. ICLR</w:t>
      </w:r>
      <w:r>
        <w:rPr>
          <w:rFonts w:ascii="Calibri" w:hAnsi="Calibri"/>
          <w:sz w:val="21"/>
        </w:rPr>
        <w:t>, 2025.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[5] T. Yu, R. Zhang, M. Yasunaga, et al., "SParC: Cross-Domain Semantic Parsing in Context," </w:t>
      </w:r>
      <w:r>
        <w:rPr>
          <w:rFonts w:ascii="Calibri" w:hAnsi="Calibri"/>
          <w:i/>
          <w:sz w:val="21"/>
        </w:rPr>
        <w:t>Proc. ACL</w:t>
      </w:r>
      <w:r>
        <w:rPr>
          <w:rFonts w:ascii="Calibri" w:hAnsi="Calibri"/>
          <w:sz w:val="21"/>
        </w:rPr>
        <w:t>, 2019.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[6] T. Yu, R. Zhang, A. Iyer, et al., "CoSQL: A Conversational Text-to-SQL Challenge Towards Cross-Domain Natural Language Interfaces to Databases," </w:t>
      </w:r>
      <w:r>
        <w:rPr>
          <w:rFonts w:ascii="Calibri" w:hAnsi="Calibri"/>
          <w:i/>
          <w:sz w:val="21"/>
        </w:rPr>
        <w:t>Proc. EMNLP</w:t>
      </w:r>
      <w:r>
        <w:rPr>
          <w:rFonts w:ascii="Calibri" w:hAnsi="Calibri"/>
          <w:sz w:val="21"/>
        </w:rPr>
        <w:t>, 2019.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[7] C.-H. Lee, O. Polozov, and M. Richardson, "KaggleDBQA: Realistic Evaluation of Text-to-SQL Parsers," </w:t>
      </w:r>
      <w:r>
        <w:rPr>
          <w:rFonts w:ascii="Calibri" w:hAnsi="Calibri"/>
          <w:i/>
          <w:sz w:val="21"/>
        </w:rPr>
        <w:t>Proc. ACL</w:t>
      </w:r>
      <w:r>
        <w:rPr>
          <w:rFonts w:ascii="Calibri" w:hAnsi="Calibri"/>
          <w:sz w:val="21"/>
        </w:rPr>
        <w:t>, pp. 2261–2273, 2021.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[8] M. Pourreza and D. Rafiei, "DIN-SQL: Decomposed In-Context Learning of Text-to-SQL with Self-Correction," </w:t>
      </w:r>
      <w:r>
        <w:rPr>
          <w:rFonts w:ascii="Calibri" w:hAnsi="Calibri"/>
          <w:i/>
          <w:sz w:val="21"/>
        </w:rPr>
        <w:t>NeurIPS 36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[9] D. Gao, H. Wang, Y. Li, et al., "Text-to-SQL Empowered by Large Language Models: A Benchmark Evaluation," </w:t>
      </w:r>
      <w:r>
        <w:rPr>
          <w:rFonts w:ascii="Calibri" w:hAnsi="Calibri"/>
          <w:i/>
          <w:sz w:val="21"/>
        </w:rPr>
        <w:t>Proc. VLDB Endowment</w:t>
      </w:r>
      <w:r>
        <w:rPr>
          <w:rFonts w:ascii="Calibri" w:hAnsi="Calibri"/>
          <w:sz w:val="21"/>
        </w:rPr>
        <w:t>, 17(5):1132–1145,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[10] S. Talaei, M. Pourreza, Y.-C. Chang, A. Mirhoseini, and A. Saberi, "CHESS: Contextual Harnessing for Efficient SQL Synthesis," </w:t>
      </w:r>
      <w:r>
        <w:rPr>
          <w:rFonts w:ascii="Calibri" w:hAnsi="Calibri"/>
          <w:i/>
          <w:sz w:val="21"/>
        </w:rPr>
        <w:t>arXiv:2405.16755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[11] B. Wang, C. Ren, J. Yang, et al., "MAC-SQL: A Multi-Agent Collaborative Framework for Text-to-SQL," </w:t>
      </w:r>
      <w:r>
        <w:rPr>
          <w:rFonts w:ascii="Calibri" w:hAnsi="Calibri"/>
          <w:i/>
          <w:sz w:val="21"/>
        </w:rPr>
        <w:t>arXiv:2312.11242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[12] T. Scholak, N. Schick, and R. Dureau, "PICARD: Parsing Incrementally for Constrained Auto-Regressive Decoding from Language Models," </w:t>
      </w:r>
      <w:r>
        <w:rPr>
          <w:rFonts w:ascii="Calibri" w:hAnsi="Calibri"/>
          <w:i/>
          <w:sz w:val="21"/>
        </w:rPr>
        <w:t>Proc. ACL</w:t>
      </w:r>
      <w:r>
        <w:rPr>
          <w:rFonts w:ascii="Calibri" w:hAnsi="Calibri"/>
          <w:sz w:val="21"/>
        </w:rPr>
        <w:t>, 2021.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[13] A. S. Pillai, "GROUND: Reducing Hallucinations in LLM-Based Enterprise Analytics Through Governed Semantic Definitions," </w:t>
      </w:r>
      <w:r>
        <w:rPr>
          <w:rFonts w:ascii="Calibri" w:hAnsi="Calibri"/>
          <w:i/>
          <w:sz w:val="21"/>
        </w:rPr>
        <w:t>arXiv preprint</w:t>
      </w:r>
      <w:r>
        <w:rPr>
          <w:rFonts w:ascii="Calibri" w:hAnsi="Calibri"/>
          <w:sz w:val="21"/>
        </w:rPr>
        <w:t>, 2026.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[14] P. Lewis, E. Perez, A. Piktus, et al., "Retrieval-Augmented Generation for Knowledge-Intensive NLP Tasks," </w:t>
      </w:r>
      <w:r>
        <w:rPr>
          <w:rFonts w:ascii="Calibri" w:hAnsi="Calibri"/>
          <w:i/>
          <w:sz w:val="21"/>
        </w:rPr>
        <w:t>NeurIPS 33</w:t>
      </w:r>
      <w:r>
        <w:rPr>
          <w:rFonts w:ascii="Calibri" w:hAnsi="Calibri"/>
          <w:sz w:val="21"/>
        </w:rPr>
        <w:t>, 2020.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[15] S. Robertson and H. Zaragoza, "The Probabilistic Relevance Framework: BM25 and Beyond," </w:t>
      </w:r>
      <w:r>
        <w:rPr>
          <w:rFonts w:ascii="Calibri" w:hAnsi="Calibri"/>
          <w:i/>
          <w:sz w:val="21"/>
        </w:rPr>
        <w:t>Foundations and Trends in Information Retrieval</w:t>
      </w:r>
      <w:r>
        <w:rPr>
          <w:rFonts w:ascii="Calibri" w:hAnsi="Calibri"/>
          <w:sz w:val="21"/>
        </w:rPr>
        <w:t>, 3(4), 2009.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[16] S. Es, J. James, L. Espinosa-Anke, and S. Schockaert, "RAGAS: Automated Evaluation of Retrieval Augmented Generation," </w:t>
      </w:r>
      <w:r>
        <w:rPr>
          <w:rFonts w:ascii="Calibri" w:hAnsi="Calibri"/>
          <w:i/>
          <w:sz w:val="21"/>
        </w:rPr>
        <w:t>Proc. EACL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[17] S. Yao, J. Zhao, D. Yu, et al., "ReAct: Synergizing Reasoning and Acting in Language Models," </w:t>
      </w:r>
      <w:r>
        <w:rPr>
          <w:rFonts w:ascii="Calibri" w:hAnsi="Calibri"/>
          <w:i/>
          <w:sz w:val="21"/>
        </w:rPr>
        <w:t>Proc. ICLR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[18] T. Schick, J. Dwivedi-Yu, R. Dessì, et al., "Toolformer: Language Models Can Teach Themselves to Use Tools," </w:t>
      </w:r>
      <w:r>
        <w:rPr>
          <w:rFonts w:ascii="Calibri" w:hAnsi="Calibri"/>
          <w:i/>
          <w:sz w:val="21"/>
        </w:rPr>
        <w:t>NeurIPS 36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[19] L. Gao, A. Madaan, S. Zhou, et al., "PAL: Program-Aided Language Models," </w:t>
      </w:r>
      <w:r>
        <w:rPr>
          <w:rFonts w:ascii="Calibri" w:hAnsi="Calibri"/>
          <w:i/>
          <w:sz w:val="21"/>
        </w:rPr>
        <w:t>Proc. ICML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[20] W. Chen, X. Ma, X. Wang, and W. W. Cohen, "Program of Thoughts Prompting: Disentangling Computation from Reasoning for Numerical Reasoning Tasks," </w:t>
      </w:r>
      <w:r>
        <w:rPr>
          <w:rFonts w:ascii="Calibri" w:hAnsi="Calibri"/>
          <w:i/>
          <w:sz w:val="21"/>
        </w:rPr>
        <w:t>arXiv:2211.12588</w:t>
      </w:r>
      <w:r>
        <w:rPr>
          <w:rFonts w:ascii="Calibri" w:hAnsi="Calibri"/>
          <w:sz w:val="21"/>
        </w:rPr>
        <w:t>, 2022.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[21] X. Chen, M. Lin, N. Schärli, and D. Zhou, "Teaching Large Language Models to Self-Debug," </w:t>
      </w:r>
      <w:r>
        <w:rPr>
          <w:rFonts w:ascii="Calibri" w:hAnsi="Calibri"/>
          <w:i/>
          <w:sz w:val="21"/>
        </w:rPr>
        <w:t>Proc. ACL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[22] J. Huang, X. Chen, S. Mishra, et al., "Large Language Models Cannot Self-Correct Reasoning Yet," </w:t>
      </w:r>
      <w:r>
        <w:rPr>
          <w:rFonts w:ascii="Calibri" w:hAnsi="Calibri"/>
          <w:i/>
          <w:sz w:val="21"/>
        </w:rPr>
        <w:t>Proc. ICLR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[23] K. Greshake, S. Abdelnabi, S. Mishra, et al., "Not What You've Signed Up For: Compromising Real-World LLM-Integrated Applications with Indirect Prompt Injection," </w:t>
      </w:r>
      <w:r>
        <w:rPr>
          <w:rFonts w:ascii="Calibri" w:hAnsi="Calibri"/>
          <w:i/>
          <w:sz w:val="21"/>
        </w:rPr>
        <w:t>Proc. ACM Workshop on AISec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[24] R. S. Sandhu, E. J. Coyne, H. L. Feinstein, and C. E. Youman, "Role-Based Access Control Models," </w:t>
      </w:r>
      <w:r>
        <w:rPr>
          <w:rFonts w:ascii="Calibri" w:hAnsi="Calibri"/>
          <w:i/>
          <w:sz w:val="21"/>
        </w:rPr>
        <w:t>IEEE Computer</w:t>
      </w:r>
      <w:r>
        <w:rPr>
          <w:rFonts w:ascii="Calibri" w:hAnsi="Calibri"/>
          <w:sz w:val="21"/>
        </w:rPr>
        <w:t>, 29(2):38–47, 1996.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[25] J. H. Saltzer and D. M. Schroeder, "The Protection of Information in Computer Systems," </w:t>
      </w:r>
      <w:r>
        <w:rPr>
          <w:rFonts w:ascii="Calibri" w:hAnsi="Calibri"/>
          <w:i/>
          <w:sz w:val="21"/>
        </w:rPr>
        <w:t>Proc. IEEE</w:t>
      </w:r>
      <w:r>
        <w:rPr>
          <w:rFonts w:ascii="Calibri" w:hAnsi="Calibri"/>
          <w:sz w:val="21"/>
        </w:rPr>
        <w:t>, 63(9):1278–1308, 1975.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[26] F. Perez and I. Ribeiro, "Ignore Previous Prompt: Attack Techniques For Language Models," </w:t>
      </w:r>
      <w:r>
        <w:rPr>
          <w:rFonts w:ascii="Calibri" w:hAnsi="Calibri"/>
          <w:i/>
          <w:sz w:val="21"/>
        </w:rPr>
        <w:t>NeurIPS Workshop</w:t>
      </w:r>
      <w:r>
        <w:rPr>
          <w:rFonts w:ascii="Calibri" w:hAnsi="Calibri"/>
          <w:sz w:val="21"/>
        </w:rPr>
        <w:t>, 2022.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[27] H. Touvron, T. Lavril, G. Izacard, et al., "LLaMA: Open and Efficient Foundation Language Models," </w:t>
      </w:r>
      <w:r>
        <w:rPr>
          <w:rFonts w:ascii="Calibri" w:hAnsi="Calibri"/>
          <w:i/>
          <w:sz w:val="21"/>
        </w:rPr>
        <w:t>arXiv:2302.13971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[28] Qwen Team, "Qwen2.5: A Party of Foundation Models," </w:t>
      </w:r>
      <w:r>
        <w:rPr>
          <w:rFonts w:ascii="Calibri" w:hAnsi="Calibri"/>
          <w:i/>
          <w:sz w:val="21"/>
        </w:rPr>
        <w:t>arXiv preprint</w:t>
      </w:r>
      <w:r>
        <w:rPr>
          <w:rFonts w:ascii="Calibri" w:hAnsi="Calibri"/>
          <w:sz w:val="21"/>
        </w:rPr>
        <w:t>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[29] S. Gunasekar, Y. Zhang, J. Aneja, et al., "Textbooks Are All You Need," </w:t>
      </w:r>
      <w:r>
        <w:rPr>
          <w:rFonts w:ascii="Calibri" w:hAnsi="Calibri"/>
          <w:i/>
          <w:sz w:val="21"/>
        </w:rPr>
        <w:t>arXiv:2306.11644</w:t>
      </w:r>
      <w:r>
        <w:rPr>
          <w:rFonts w:ascii="Calibri" w:hAnsi="Calibri"/>
          <w:sz w:val="21"/>
        </w:rPr>
        <w:t>, 2023.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[30] H. Li, J. Zhang, H. Liu, et al., "CodeS: Towards Building Open-Source Language Models for Text-to-SQL," </w:t>
      </w:r>
      <w:r>
        <w:rPr>
          <w:rFonts w:ascii="Calibri" w:hAnsi="Calibri"/>
          <w:i/>
          <w:sz w:val="21"/>
        </w:rPr>
        <w:t>Proc. ACM Management of Data</w:t>
      </w:r>
      <w:r>
        <w:rPr>
          <w:rFonts w:ascii="Calibri" w:hAnsi="Calibri"/>
          <w:sz w:val="21"/>
        </w:rPr>
        <w:t>, 2(3):1–28, 2024.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[31] M. T. Ribeiro, T. Wu, C. Guestrin, and S. Singh, "Beyond Accuracy: Behavioral Testing of NLP Models with CheckList," </w:t>
      </w:r>
      <w:r>
        <w:rPr>
          <w:rFonts w:ascii="Calibri" w:hAnsi="Calibri"/>
          <w:i/>
          <w:sz w:val="21"/>
        </w:rPr>
        <w:t>Proc. ACL</w:t>
      </w:r>
      <w:r>
        <w:rPr>
          <w:rFonts w:ascii="Calibri" w:hAnsi="Calibri"/>
          <w:sz w:val="21"/>
        </w:rPr>
        <w:t>, 2020.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[32] F. T. Liu, K. M. Ting, and Z.-H. Zhou, "Isolation Forest," </w:t>
      </w:r>
      <w:r>
        <w:rPr>
          <w:rFonts w:ascii="Calibri" w:hAnsi="Calibri"/>
          <w:i/>
          <w:sz w:val="21"/>
        </w:rPr>
        <w:t>Proc. IEEE ICDM</w:t>
      </w:r>
      <w:r>
        <w:rPr>
          <w:rFonts w:ascii="Calibri" w:hAnsi="Calibri"/>
          <w:sz w:val="21"/>
        </w:rPr>
        <w:t>, 2008.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[33] A. Radford, J. Wu, R. Child, et al., "Language Models are Unsupervised Multitask Learners," </w:t>
      </w:r>
      <w:r>
        <w:rPr>
          <w:rFonts w:ascii="Calibri" w:hAnsi="Calibri"/>
          <w:i/>
          <w:sz w:val="21"/>
        </w:rPr>
        <w:t>OpenAI Technical Report</w:t>
      </w:r>
      <w:r>
        <w:rPr>
          <w:rFonts w:ascii="Calibri" w:hAnsi="Calibri"/>
          <w:sz w:val="21"/>
        </w:rPr>
        <w:t>, 2019.</w:t>
      </w:r>
    </w:p>
    <w:p>
      <w:pPr>
        <w:spacing w:before="40" w:after="120" w:line="276" w:lineRule="auto"/>
      </w:pPr>
      <w:r>
        <w:rPr>
          <w:rFonts w:ascii="Calibri" w:hAnsi="Calibri"/>
          <w:sz w:val="21"/>
        </w:rPr>
        <w:t xml:space="preserve">[34] D. Hendrycks and K. Gimpel, "A Baseline for Detecting Misclassified and Out-of-Distribution Examples in Neural Networks," </w:t>
      </w:r>
      <w:r>
        <w:rPr>
          <w:rFonts w:ascii="Calibri" w:hAnsi="Calibri"/>
          <w:i/>
          <w:sz w:val="21"/>
        </w:rPr>
        <w:t>Proc. ICLR</w:t>
      </w:r>
      <w:r>
        <w:rPr>
          <w:rFonts w:ascii="Calibri" w:hAnsi="Calibri"/>
          <w:sz w:val="21"/>
        </w:rPr>
        <w:t>, 2017.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