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B365D"/>
          <w:sz w:val="44"/>
        </w:rPr>
        <w:t>Enterprise Student Record &amp; Academic Management Platform</w:t>
      </w:r>
    </w:p>
    <w:p>
      <w:pPr>
        <w:spacing w:before="0" w:after="360"/>
        <w:jc w:val="center"/>
      </w:pPr>
      <w:r>
        <w:rPr>
          <w:rFonts w:ascii="Arial" w:hAnsi="Arial"/>
          <w:i/>
          <w:color w:val="4682B4"/>
          <w:sz w:val="26"/>
        </w:rPr>
        <w:t>Unit-1 Mini Project Document: Design Thinking &amp; Product Planning</w:t>
      </w:r>
    </w:p>
    <w:p>
      <w:pPr>
        <w:spacing w:after="360"/>
        <w:jc w:val="center"/>
      </w:pPr>
      <w:r>
        <w:rPr>
          <w:rFonts w:ascii="Arial" w:hAnsi="Arial"/>
          <w:b/>
          <w:color w:val="646464"/>
          <w:sz w:val="20"/>
        </w:rPr>
        <w:t>Student Name: Shubham Deshmukh  |  PRN: 2125UDSM1027  |  Course: DevOps (Unit 1)</w:t>
        <w:br/>
        <w:t>Careertiq Training &amp; Engineering Division</w:t>
      </w:r>
    </w:p>
    <w:p>
      <w:pPr>
        <w:pStyle w:val="Heading1"/>
      </w:pPr>
      <w:r>
        <w:t>1. Executive Summary &amp; Project Objective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2"/>
        </w:rPr>
        <w:t>This assignment documents the design thinking, business requirement engineering, and product planning for the Enterprise Student Record and Academic Management Platform. Built under the DevOps &amp; Product Engineering framework, this project establishes a cloud-native, scalable software solution to manage student admissions, course registrations, attendance, examinations, and result processing in higher education institutions.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2"/>
        </w:rPr>
        <w:t>Rather than jumping directly into writing code, this deliverable focuses on domain understanding, human-centered Design Thinking (including IBM Design Thinking &amp; Loop methodology), stakeholder personas, functional/non-functional requirements specification, and repository structure initialization.</w:t>
      </w:r>
    </w:p>
    <w:p>
      <w:pPr>
        <w:pStyle w:val="Heading1"/>
      </w:pPr>
      <w:r>
        <w:t>2. Core Comparative Analysis &amp; Domain Understanding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2"/>
        </w:rPr>
        <w:t>In modern software product engineering, writing syntax is only a single execution phase (~20% total effort) within a larger lifecycle that spans research, architecture, UX design, CI/CD automation, and continuous monitoring.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12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Programming / Coding</w:t>
            </w:r>
          </w:p>
        </w:tc>
        <w:tc>
          <w:tcPr>
            <w:tcW w:type="dxa" w:w="3120"/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Software Product Engineering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Primary Goal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Translating logic/algorithms into executable code syntax.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Building scalable, maintainable, and valuable systems for end users.</w:t>
            </w:r>
          </w:p>
        </w:tc>
      </w:tr>
      <w:tr>
        <w:tc>
          <w:tcPr>
            <w:tcW w:type="dxa" w:w="3120"/>
            <w:shd w:fill="F4F6F9"/>
          </w:tcPr>
          <w:p>
            <w:r>
              <w:rPr>
                <w:sz w:val="19"/>
              </w:rPr>
              <w:t>Scope</w:t>
            </w:r>
          </w:p>
        </w:tc>
        <w:tc>
          <w:tcPr>
            <w:tcW w:type="dxa" w:w="3120"/>
            <w:shd w:fill="F4F6F9"/>
          </w:tcPr>
          <w:p>
            <w:r>
              <w:rPr>
                <w:sz w:val="19"/>
              </w:rPr>
              <w:t>Isolated functions, micro-tasks, or single scripts.</w:t>
            </w:r>
          </w:p>
        </w:tc>
        <w:tc>
          <w:tcPr>
            <w:tcW w:type="dxa" w:w="3120"/>
            <w:shd w:fill="F4F6F9"/>
          </w:tcPr>
          <w:p>
            <w:r>
              <w:rPr>
                <w:sz w:val="19"/>
              </w:rPr>
              <w:t>Full lifecycle (SDLC), architecture, CI/CD, database schemas, security.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Success Metric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Code compiles and passes basic test inputs.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User adoption, high availability, performance metrics, business outcome.</w:t>
            </w:r>
          </w:p>
        </w:tc>
      </w:tr>
      <w:tr>
        <w:tc>
          <w:tcPr>
            <w:tcW w:type="dxa" w:w="3120"/>
            <w:shd w:fill="F4F6F9"/>
          </w:tcPr>
          <w:p>
            <w:r>
              <w:rPr>
                <w:sz w:val="19"/>
              </w:rPr>
              <w:t>Mindset</w:t>
            </w:r>
          </w:p>
        </w:tc>
        <w:tc>
          <w:tcPr>
            <w:tcW w:type="dxa" w:w="3120"/>
            <w:shd w:fill="F4F6F9"/>
          </w:tcPr>
          <w:p>
            <w:r>
              <w:rPr>
                <w:sz w:val="19"/>
              </w:rPr>
              <w:t>Technology-Centric ('How do I write this function?').</w:t>
            </w:r>
          </w:p>
        </w:tc>
        <w:tc>
          <w:tcPr>
            <w:tcW w:type="dxa" w:w="3120"/>
            <w:shd w:fill="F4F6F9"/>
          </w:tcPr>
          <w:p>
            <w:r>
              <w:rPr>
                <w:sz w:val="19"/>
              </w:rPr>
              <w:t>Product-Centric ('What core problem are we solving for our users?').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Manual Operational Bottlenecks vs. Automated Platform Solution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  <w:sz w:val="20"/>
              </w:rPr>
              <w:t>Manual Operational Bottleneck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  <w:sz w:val="20"/>
              </w:rPr>
              <w:t>Automated Platform Solution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  <w:sz w:val="20"/>
              </w:rPr>
              <w:t>Business Outcome Metric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Manual paper register entries for student attendance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Automated biometric / QR code attendance logging system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Attendance processing time reduced by 85%</w:t>
            </w:r>
          </w:p>
        </w:tc>
      </w:tr>
      <w:tr>
        <w:tc>
          <w:tcPr>
            <w:tcW w:type="dxa" w:w="3120"/>
            <w:shd w:fill="F4F6F9"/>
          </w:tcPr>
          <w:p>
            <w:r>
              <w:rPr>
                <w:sz w:val="19"/>
              </w:rPr>
              <w:t>Physical ledger lookups for result processing and GPA calculation</w:t>
            </w:r>
          </w:p>
        </w:tc>
        <w:tc>
          <w:tcPr>
            <w:tcW w:type="dxa" w:w="3120"/>
            <w:shd w:fill="F4F6F9"/>
          </w:tcPr>
          <w:p>
            <w:r>
              <w:rPr>
                <w:sz w:val="19"/>
              </w:rPr>
              <w:t>Automated grading engine with relational database computation</w:t>
            </w:r>
          </w:p>
        </w:tc>
        <w:tc>
          <w:tcPr>
            <w:tcW w:type="dxa" w:w="3120"/>
            <w:shd w:fill="F4F6F9"/>
          </w:tcPr>
          <w:p>
            <w:r>
              <w:rPr>
                <w:sz w:val="19"/>
              </w:rPr>
              <w:t>Result generation cycle cut from 2 weeks to instant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Manual paper slip generation for course registration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Self-service student portal with real-time course seat validation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Registration queues eliminated; 100% digital throughput</w:t>
            </w:r>
          </w:p>
        </w:tc>
      </w:tr>
      <w:tr>
        <w:tc>
          <w:tcPr>
            <w:tcW w:type="dxa" w:w="3120"/>
            <w:shd w:fill="F4F6F9"/>
          </w:tcPr>
          <w:p>
            <w:r>
              <w:rPr>
                <w:sz w:val="19"/>
              </w:rPr>
              <w:t>Missing academic records, paper decay, &amp; data tampering risks</w:t>
            </w:r>
          </w:p>
        </w:tc>
        <w:tc>
          <w:tcPr>
            <w:tcW w:type="dxa" w:w="3120"/>
            <w:shd w:fill="F4F6F9"/>
          </w:tcPr>
          <w:p>
            <w:r>
              <w:rPr>
                <w:sz w:val="19"/>
              </w:rPr>
              <w:t>Relational database with strict RBAC, encryption, &amp; audit logging</w:t>
            </w:r>
          </w:p>
        </w:tc>
        <w:tc>
          <w:tcPr>
            <w:tcW w:type="dxa" w:w="3120"/>
            <w:shd w:fill="F4F6F9"/>
          </w:tcPr>
          <w:p>
            <w:r>
              <w:rPr>
                <w:sz w:val="19"/>
              </w:rPr>
              <w:t>Record integrity &amp; accuracy achieved at 99.99%</w:t>
            </w:r>
          </w:p>
        </w:tc>
      </w:tr>
    </w:tbl>
    <w:p>
      <w:pPr>
        <w:pStyle w:val="Heading1"/>
      </w:pPr>
      <w:r>
        <w:t>3. Design Thinking Methodology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2"/>
        </w:rPr>
        <w:t>To ensure the platform solves true user pain points, the five classic stages of Design Thinking were applied: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1. Empathize: </w:t>
      </w:r>
      <w:r>
        <w:rPr>
          <w:rFonts w:ascii="Calibri" w:hAnsi="Calibri"/>
          <w:color w:val="282828"/>
          <w:sz w:val="22"/>
        </w:rPr>
        <w:t>Observing students, faculty members, and academic admins in their daily operational environment to uncover frustration points during admission, registration, and grading.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2. Define: </w:t>
      </w:r>
      <w:r>
        <w:rPr>
          <w:rFonts w:ascii="Calibri" w:hAnsi="Calibri"/>
          <w:color w:val="282828"/>
          <w:sz w:val="22"/>
        </w:rPr>
        <w:t>Synthesizing research into a definitive problem statement: 'Academic stakeholders suffer severe operational delays, data errors, and lack of real-time visibility due to fragmented manual record management.'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3. Ideate: </w:t>
      </w:r>
      <w:r>
        <w:rPr>
          <w:rFonts w:ascii="Calibri" w:hAnsi="Calibri"/>
          <w:color w:val="282828"/>
          <w:sz w:val="22"/>
        </w:rPr>
        <w:t>Brainstorming solutions such as real-time GPA calculators, online course add/drop portals, automated attendance warning alerts, and digital transcripts.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4. Prototype: </w:t>
      </w:r>
      <w:r>
        <w:rPr>
          <w:rFonts w:ascii="Calibri" w:hAnsi="Calibri"/>
          <w:color w:val="282828"/>
          <w:sz w:val="22"/>
        </w:rPr>
        <w:t>Building low-fidelity wireframes and interactive mockups for the Student Dashboard, Faculty Grading Portal, and Admin Analytics Panel.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5. Test: </w:t>
      </w:r>
      <w:r>
        <w:rPr>
          <w:rFonts w:ascii="Calibri" w:hAnsi="Calibri"/>
          <w:color w:val="282828"/>
          <w:sz w:val="22"/>
        </w:rPr>
        <w:t>Validating wireframe navigation and task completion speed with real university students and administration staff prior to backend engineering.</w:t>
      </w:r>
    </w:p>
    <w:p>
      <w:pPr>
        <w:pStyle w:val="Heading1"/>
      </w:pPr>
      <w:r>
        <w:t>4. Enterprise Expansion: IBM Design Thinking &amp; IBM Loop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2"/>
        </w:rPr>
        <w:t>At an enterprise level, IBM Design Thinking scales human-centered engineering across three core principles: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Focus on User Outcomes: </w:t>
      </w:r>
      <w:r>
        <w:rPr>
          <w:rFonts w:ascii="Calibri" w:hAnsi="Calibri"/>
          <w:color w:val="282828"/>
          <w:sz w:val="22"/>
        </w:rPr>
        <w:t>Shift technical goals into human outcomes (e.g., enable students to register for semester courses in under 3 clicks).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Restless Reinvention: </w:t>
      </w:r>
      <w:r>
        <w:rPr>
          <w:rFonts w:ascii="Calibri" w:hAnsi="Calibri"/>
          <w:color w:val="282828"/>
          <w:sz w:val="22"/>
        </w:rPr>
        <w:t>Treat continuous deployment (CD) as an ongoing refinement cycle—analyzing usage logs to continuously optimize UI speed and backend queries.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Diverse Empowered Teams: </w:t>
      </w:r>
      <w:r>
        <w:rPr>
          <w:rFonts w:ascii="Calibri" w:hAnsi="Calibri"/>
          <w:color w:val="282828"/>
          <w:sz w:val="22"/>
        </w:rPr>
        <w:t>Cross-functional collaboration between Product Managers, UX Designers, DevOps Engineers, and System Architects.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365D"/>
                <w:sz w:val="22"/>
              </w:rPr>
              <w:t>The IBM Loop Engine (Observe → Reflect → Make)</w:t>
              <w:br/>
            </w:r>
            <w:r>
              <w:rPr>
                <w:rFonts w:ascii="Calibri" w:hAnsi="Calibri"/>
                <w:i/>
                <w:color w:val="282828"/>
                <w:sz w:val="21"/>
              </w:rPr>
              <w:t>OBSERVE: Study user interactions, attendance logs, and administrative bottlenecks.</w:t>
              <w:br/>
              <w:t>REFLECT: Analyze metrics, realign feature backlogs, and re-evaluate system throughput.</w:t>
              <w:br/>
              <w:t>MAKE: Design responsive UI, write backend microservices, and automate CI/CD pipeline deployments.</w:t>
            </w:r>
          </w:p>
        </w:tc>
      </w:tr>
    </w:tbl>
    <w:p>
      <w:pPr>
        <w:spacing w:after="80"/>
      </w:pPr>
    </w:p>
    <w:p>
      <w:pPr>
        <w:pStyle w:val="Heading1"/>
      </w:pPr>
      <w:r>
        <w:t>5. Stakeholder Analysis &amp; User Personas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  <w:sz w:val="20"/>
              </w:rPr>
              <w:t>Primary Objectives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  <w:sz w:val="20"/>
              </w:rPr>
              <w:t>Key Frustrations &amp; Pain Points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  <w:sz w:val="20"/>
              </w:rPr>
              <w:t>Target Platform Feature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Rohan (Student)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Register for courses quickly; track GPA and live attendance.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Long physical queues; delayed result publishing; loss of attendance records.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Mobile-responsive portal, instant transcript generation, push alerts.</w:t>
            </w:r>
          </w:p>
        </w:tc>
      </w:tr>
      <w:tr>
        <w:tc>
          <w:tcPr>
            <w:tcW w:type="dxa" w:w="2340"/>
            <w:shd w:fill="F4F6F9"/>
          </w:tcPr>
          <w:p>
            <w:r>
              <w:rPr>
                <w:sz w:val="19"/>
              </w:rPr>
              <w:t>Prof. Kulkarni (Faculty)</w:t>
            </w:r>
          </w:p>
        </w:tc>
        <w:tc>
          <w:tcPr>
            <w:tcW w:type="dxa" w:w="2340"/>
            <w:shd w:fill="F4F6F9"/>
          </w:tcPr>
          <w:p>
            <w:r>
              <w:rPr>
                <w:sz w:val="19"/>
              </w:rPr>
              <w:t>Submit semester grades efficiently; monitor class attendance.</w:t>
            </w:r>
          </w:p>
        </w:tc>
        <w:tc>
          <w:tcPr>
            <w:tcW w:type="dxa" w:w="2340"/>
            <w:shd w:fill="F4F6F9"/>
          </w:tcPr>
          <w:p>
            <w:r>
              <w:rPr>
                <w:sz w:val="19"/>
              </w:rPr>
              <w:t>Manual paper grade entry; calculation errors; lack of attendance summaries.</w:t>
            </w:r>
          </w:p>
        </w:tc>
        <w:tc>
          <w:tcPr>
            <w:tcW w:type="dxa" w:w="2340"/>
            <w:shd w:fill="F4F6F9"/>
          </w:tcPr>
          <w:p>
            <w:r>
              <w:rPr>
                <w:sz w:val="19"/>
              </w:rPr>
              <w:t>Bulk grade upload module, automated attendance tracking dashboard.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Dr. Joshi (Academic Admin)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Maintain compliant academic records; generate institutional reports.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Data silos across departments; manual paper audits taking days.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Executive analytics dashboard, 1-click compliant PDF export, RBAC controls.</w:t>
            </w:r>
          </w:p>
        </w:tc>
      </w:tr>
    </w:tbl>
    <w:p>
      <w:pPr>
        <w:pStyle w:val="Heading1"/>
      </w:pPr>
      <w:r>
        <w:t>6. Requirements Engineering Specification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6.1 Functional Requirements Specification (FRS)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FR-01 Authentication &amp; RBAC: </w:t>
      </w:r>
      <w:r>
        <w:rPr>
          <w:rFonts w:ascii="Calibri" w:hAnsi="Calibri"/>
          <w:color w:val="282828"/>
          <w:sz w:val="22"/>
        </w:rPr>
        <w:t>Role-Based Access Control (RBAC) ensuring secure authentication for Admin, Faculty, Student, and Examination Cell.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FR-02 Student Registration: </w:t>
      </w:r>
      <w:r>
        <w:rPr>
          <w:rFonts w:ascii="Calibri" w:hAnsi="Calibri"/>
          <w:color w:val="282828"/>
          <w:sz w:val="22"/>
        </w:rPr>
        <w:t>Complete student lifecycle management including onboarding, profile updates, and document verification.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FR-03 Course Registration: </w:t>
      </w:r>
      <w:r>
        <w:rPr>
          <w:rFonts w:ascii="Calibri" w:hAnsi="Calibri"/>
          <w:color w:val="282828"/>
          <w:sz w:val="22"/>
        </w:rPr>
        <w:t>Self-service course selection with real-time seat availability validation and prerequisite checking.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FR-04 Attendance Engine: </w:t>
      </w:r>
      <w:r>
        <w:rPr>
          <w:rFonts w:ascii="Calibri" w:hAnsi="Calibri"/>
          <w:color w:val="282828"/>
          <w:sz w:val="22"/>
        </w:rPr>
        <w:t>Daily attendance logging, automated percentage calculation, and low-attendance alert triggers.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FR-05 Examination &amp; Results: </w:t>
      </w:r>
      <w:r>
        <w:rPr>
          <w:rFonts w:ascii="Calibri" w:hAnsi="Calibri"/>
          <w:color w:val="282828"/>
          <w:sz w:val="22"/>
        </w:rPr>
        <w:t>Grade entry, automated GPA/CGPA computation, and single-click digital transcript generation.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6.2 Non-Functional Requirements Specification (NFRS)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NFR-01 Security: </w:t>
      </w:r>
      <w:r>
        <w:rPr>
          <w:rFonts w:ascii="Calibri" w:hAnsi="Calibri"/>
          <w:color w:val="282828"/>
          <w:sz w:val="22"/>
        </w:rPr>
        <w:t>Bcrypt/Argon2 password hashing, JWT session token management, and strict TLS 1.3 HTTPS encryption.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NFR-02 Performance: </w:t>
      </w:r>
      <w:r>
        <w:rPr>
          <w:rFonts w:ascii="Calibri" w:hAnsi="Calibri"/>
          <w:color w:val="282828"/>
          <w:sz w:val="22"/>
        </w:rPr>
        <w:t>Sub-500ms response time for search and API queries under a load of 5,000 concurrent users.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NFR-03 Scalability &amp; Availability: </w:t>
      </w:r>
      <w:r>
        <w:rPr>
          <w:rFonts w:ascii="Calibri" w:hAnsi="Calibri"/>
          <w:color w:val="282828"/>
          <w:sz w:val="22"/>
        </w:rPr>
        <w:t>Containerized Kubernetes deployment targeting 99.99% uptime with horizontal pod autoscaling.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NFR-04 Maintainability: </w:t>
      </w:r>
      <w:r>
        <w:rPr>
          <w:rFonts w:ascii="Calibri" w:hAnsi="Calibri"/>
          <w:color w:val="282828"/>
          <w:sz w:val="22"/>
        </w:rPr>
        <w:t>Infrastructure as Code (IaC) using Terraform/Ansible with modular codebase architecture.</w:t>
      </w:r>
    </w:p>
    <w:p>
      <w:pPr>
        <w:pStyle w:val="Heading1"/>
      </w:pPr>
      <w:r>
        <w:t>7. Product Vision, MVP Scope &amp; Product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1B365D"/>
                <w:sz w:val="22"/>
              </w:rPr>
              <w:t>Product Vision Statement</w:t>
              <w:br/>
            </w:r>
            <w:r>
              <w:rPr>
                <w:rFonts w:ascii="Calibri" w:hAnsi="Calibri"/>
                <w:i/>
                <w:color w:val="282828"/>
                <w:sz w:val="21"/>
              </w:rPr>
              <w:t>"To deliver a cloud-native, automated, and secure Academic Management Platform that eliminates manual administrative friction, unifies student lifecycle records, and empowers higher education institutions with real-time academic analytics."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color w:val="282828"/>
          <w:sz w:val="22"/>
        </w:rPr>
        <w:t>MVP Scope (Release 1 - Sprint 1 to 4): Focuses on core operational capabilities including Student Registration, RBAC Authentication, Course Enrollment, Basic Attendance Logging, and Result Generation. Non-essential features (e.g., AI grade prediction, third-party fee payment gateways) are deferred to Phase 2.</w:t>
      </w:r>
    </w:p>
    <w:p>
      <w:pPr>
        <w:keepNext/>
        <w:spacing w:before="240" w:after="80"/>
      </w:pPr>
      <w:r>
        <w:rPr>
          <w:rFonts w:ascii="Arial" w:hAnsi="Arial"/>
          <w:b/>
          <w:color w:val="4682B4"/>
          <w:sz w:val="24"/>
        </w:rPr>
        <w:t>Multi-Phase Product Engineering Roadmap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Phase 1: </w:t>
      </w:r>
      <w:r>
        <w:rPr>
          <w:rFonts w:ascii="Calibri" w:hAnsi="Calibri"/>
          <w:color w:val="282828"/>
          <w:sz w:val="22"/>
        </w:rPr>
        <w:t>Domain Analysis, Design Thinking, &amp; Requirement Specifications.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Phase 2: </w:t>
      </w:r>
      <w:r>
        <w:rPr>
          <w:rFonts w:ascii="Calibri" w:hAnsi="Calibri"/>
          <w:color w:val="282828"/>
          <w:sz w:val="22"/>
        </w:rPr>
        <w:t>UI/UX Prototyping, Database Schema Design, &amp; Git Architecture Setup.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Phase 3: </w:t>
      </w:r>
      <w:r>
        <w:rPr>
          <w:rFonts w:ascii="Calibri" w:hAnsi="Calibri"/>
          <w:color w:val="282828"/>
          <w:sz w:val="22"/>
        </w:rPr>
        <w:t>Agile Backlog Grooming &amp; Sprint Planning.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Phase 4: </w:t>
      </w:r>
      <w:r>
        <w:rPr>
          <w:rFonts w:ascii="Calibri" w:hAnsi="Calibri"/>
          <w:color w:val="282828"/>
          <w:sz w:val="22"/>
        </w:rPr>
        <w:t>Core Microservices Development (Backend API &amp; Frontend Portal).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Phase 5: </w:t>
      </w:r>
      <w:r>
        <w:rPr>
          <w:rFonts w:ascii="Calibri" w:hAnsi="Calibri"/>
          <w:color w:val="282828"/>
          <w:sz w:val="22"/>
        </w:rPr>
        <w:t>DevOps Automation (Docker Containerization &amp; GitHub Actions CI/CD).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Phase 6: </w:t>
      </w:r>
      <w:r>
        <w:rPr>
          <w:rFonts w:ascii="Calibri" w:hAnsi="Calibri"/>
          <w:color w:val="282828"/>
          <w:sz w:val="22"/>
        </w:rPr>
        <w:t>Infrastructure Automation (Terraform Provisioning &amp; Ansible Playbooks).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282828"/>
          <w:sz w:val="22"/>
        </w:rPr>
        <w:t xml:space="preserve">Phase 7: </w:t>
      </w:r>
      <w:r>
        <w:rPr>
          <w:rFonts w:ascii="Calibri" w:hAnsi="Calibri"/>
          <w:color w:val="282828"/>
          <w:sz w:val="22"/>
        </w:rPr>
        <w:t>Production Kubernetes Deployment, Observability (Prometheus/Grafana), &amp; IBM Loop Feedback.</w:t>
      </w:r>
    </w:p>
    <w:p>
      <w:pPr>
        <w:pStyle w:val="Heading1"/>
      </w:pPr>
      <w:r>
        <w:t>8. System Architecture &amp; Repository Structure</w:t>
      </w:r>
    </w:p>
    <w:p>
      <w:pPr>
        <w:spacing w:after="120" w:line="276" w:lineRule="auto"/>
      </w:pPr>
      <w:r>
        <w:rPr>
          <w:rFonts w:ascii="Calibri" w:hAnsi="Calibri"/>
          <w:color w:val="282828"/>
          <w:sz w:val="22"/>
        </w:rPr>
        <w:t>The project directory is organized following enterprise DevOps standards, enabling automated CI/CD deployment, IaC infrastructure provisioning, and microservice modularity: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urier New" w:hAnsi="Courier New"/>
                <w:color w:val="DCDCDC"/>
                <w:sz w:val="18"/>
              </w:rPr>
              <w:t>Shubham_Deshmukh_2125UDSM1027_Devops_Unit1_MiniProject/</w:t>
              <w:br/>
              <w:t>├── .github/              # CI/CD Workflows (GitHub Actions Pipeline)</w:t>
              <w:br/>
              <w:t>├── app/                  # Application Source Code</w:t>
              <w:br/>
              <w:t>│   ├── modules/          # Core Business Logic (Admissions, Courses, Results)</w:t>
              <w:br/>
              <w:t>│   ├── database/         # Schemas, Migrations, &amp; ORM Models</w:t>
              <w:br/>
              <w:t>│   └── tests/            # Automated Unit &amp; Integration Test Suites</w:t>
              <w:br/>
              <w:t>├── docs/                 # Architecture Diagrams, FRS/NFRS &amp; Design Thinking Specs</w:t>
              <w:br/>
              <w:t>├── docker/               # Dockerfiles &amp; Multi-Container Compose Configuration</w:t>
              <w:br/>
              <w:t>├── kubernetes/           # K8s Manifests (Deployments, Services, Ingress Rules)</w:t>
              <w:br/>
              <w:t>├── terraform/            # Cloud Infrastructure Provisioning Scripts (AWS/Azure)</w:t>
              <w:br/>
              <w:t>├── ansible/              # Server Configuration Management Playbooks</w:t>
              <w:br/>
              <w:t>├── monitoring/           # Prometheus &amp; Grafana Monitoring Dashboards</w:t>
              <w:br/>
              <w:t>└── README.md             # Project Charter, Onboarding, &amp; Setup Instructions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