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09" w:rsidRPr="00DD7EEA" w:rsidRDefault="00296609" w:rsidP="00DD7EEA">
      <w:pPr>
        <w:jc w:val="center"/>
        <w:rPr>
          <w:b/>
          <w:sz w:val="32"/>
          <w:szCs w:val="32"/>
        </w:rPr>
      </w:pPr>
      <w:r w:rsidRPr="00DD7EEA">
        <w:rPr>
          <w:b/>
          <w:sz w:val="32"/>
          <w:szCs w:val="32"/>
        </w:rPr>
        <w:t>Report Insights and Observations</w:t>
      </w:r>
    </w:p>
    <w:p w:rsidR="00296609" w:rsidRDefault="00296609" w:rsidP="00296609"/>
    <w:p w:rsidR="00296609" w:rsidRPr="00EE5950" w:rsidRDefault="00296609" w:rsidP="00296609">
      <w:pPr>
        <w:rPr>
          <w:b/>
          <w:sz w:val="28"/>
          <w:szCs w:val="28"/>
        </w:rPr>
      </w:pPr>
      <w:r w:rsidRPr="00EE5950">
        <w:rPr>
          <w:b/>
          <w:sz w:val="28"/>
          <w:szCs w:val="28"/>
        </w:rPr>
        <w:t>1. Order Level Analysis:</w:t>
      </w:r>
    </w:p>
    <w:p w:rsidR="00753971" w:rsidRDefault="00885998" w:rsidP="00885998">
      <w:pPr>
        <w:pStyle w:val="ListParagraph"/>
        <w:numPr>
          <w:ilvl w:val="0"/>
          <w:numId w:val="1"/>
        </w:numPr>
      </w:pPr>
      <w:r>
        <w:t>Maximum number (</w:t>
      </w:r>
      <w:r w:rsidRPr="00885998">
        <w:t>4667</w:t>
      </w:r>
      <w:r>
        <w:t>)</w:t>
      </w:r>
      <w:r w:rsidR="006B6363">
        <w:t xml:space="preserve"> </w:t>
      </w:r>
      <w:r>
        <w:t xml:space="preserve">of orders have been placed from </w:t>
      </w:r>
      <w:r w:rsidR="00B34B91">
        <w:t xml:space="preserve">HSR Layout </w:t>
      </w:r>
      <w:r>
        <w:t>location. These orders are placed in the morning, the least amount of orders placed</w:t>
      </w:r>
      <w:r w:rsidR="006B6363">
        <w:t xml:space="preserve"> (</w:t>
      </w:r>
      <w:r w:rsidR="006B6363" w:rsidRPr="006B6363">
        <w:t>389</w:t>
      </w:r>
      <w:r w:rsidR="006B6363">
        <w:t>)</w:t>
      </w:r>
      <w:r>
        <w:t xml:space="preserve"> from the same location are late in the night.</w:t>
      </w:r>
    </w:p>
    <w:p w:rsidR="00885998" w:rsidRDefault="006B6363" w:rsidP="00826706">
      <w:pPr>
        <w:pStyle w:val="ListParagraph"/>
        <w:numPr>
          <w:ilvl w:val="0"/>
          <w:numId w:val="1"/>
        </w:numPr>
      </w:pPr>
      <w:r>
        <w:t xml:space="preserve">Out of the minimum orders (1), </w:t>
      </w:r>
      <w:r w:rsidR="00826706">
        <w:t>~</w:t>
      </w:r>
      <w:r>
        <w:t xml:space="preserve">60% orders have been </w:t>
      </w:r>
      <w:r w:rsidR="00826706">
        <w:t xml:space="preserve">placed at night and </w:t>
      </w:r>
      <w:proofErr w:type="gramStart"/>
      <w:r w:rsidR="00826706">
        <w:t>late night</w:t>
      </w:r>
      <w:proofErr w:type="gramEnd"/>
      <w:r w:rsidR="00826706">
        <w:t xml:space="preserve"> slot from area drop level locations. </w:t>
      </w:r>
    </w:p>
    <w:p w:rsidR="00826706" w:rsidRDefault="00826706" w:rsidP="00826706">
      <w:pPr>
        <w:pStyle w:val="ListParagraph"/>
        <w:numPr>
          <w:ilvl w:val="0"/>
          <w:numId w:val="1"/>
        </w:numPr>
      </w:pPr>
      <w:r>
        <w:t xml:space="preserve">HSR Layout has maximum monthly orders, 68% orders have been placed from this location. It is a prime location for </w:t>
      </w:r>
      <w:proofErr w:type="spellStart"/>
      <w:r w:rsidRPr="00826706">
        <w:t>Freshco</w:t>
      </w:r>
      <w:proofErr w:type="spellEnd"/>
      <w:r w:rsidRPr="00826706">
        <w:t xml:space="preserve"> Hypermarket Capstone</w:t>
      </w:r>
      <w:r>
        <w:t xml:space="preserve">. Additionally, 17% orders are from ITI Layout. </w:t>
      </w:r>
    </w:p>
    <w:p w:rsidR="00826706" w:rsidRDefault="00826706" w:rsidP="000A594F">
      <w:pPr>
        <w:pStyle w:val="ListParagraph"/>
        <w:numPr>
          <w:ilvl w:val="0"/>
          <w:numId w:val="1"/>
        </w:numPr>
      </w:pPr>
      <w:r>
        <w:t xml:space="preserve">Referring to the chart, its been observed that </w:t>
      </w:r>
      <w:r w:rsidR="00DB5D81">
        <w:t xml:space="preserve">delivery charges for late night slots have been extremely high, especially in the month of February. </w:t>
      </w:r>
    </w:p>
    <w:p w:rsidR="0078157F" w:rsidRDefault="0078157F" w:rsidP="0078157F">
      <w:pPr>
        <w:pStyle w:val="ListParagraph"/>
      </w:pPr>
    </w:p>
    <w:p w:rsidR="0078157F" w:rsidRDefault="007D5ADE" w:rsidP="0078157F">
      <w:pPr>
        <w:pStyle w:val="ListParagraph"/>
        <w:jc w:val="center"/>
      </w:pPr>
      <w:r>
        <w:rPr>
          <w:noProof/>
        </w:rPr>
        <w:drawing>
          <wp:inline distT="0" distB="0" distL="0" distR="0" wp14:anchorId="687636F8" wp14:editId="1A27AF59">
            <wp:extent cx="60579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45EF1E-016A-4060-B7A4-B8B99DE88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8157F" w:rsidRDefault="0078157F" w:rsidP="0078157F">
      <w:pPr>
        <w:pStyle w:val="ListParagraph"/>
      </w:pPr>
    </w:p>
    <w:p w:rsidR="00DB5D81" w:rsidRDefault="00DB5D81" w:rsidP="000A594F">
      <w:pPr>
        <w:pStyle w:val="ListParagraph"/>
        <w:numPr>
          <w:ilvl w:val="0"/>
          <w:numId w:val="1"/>
        </w:numPr>
      </w:pPr>
      <w:r>
        <w:t xml:space="preserve">Referring to the chart for discount, it can be concluded that highest </w:t>
      </w:r>
      <w:proofErr w:type="gramStart"/>
      <w:r>
        <w:t>amount</w:t>
      </w:r>
      <w:proofErr w:type="gramEnd"/>
      <w:r>
        <w:t xml:space="preserve"> of discounts are provided in night slot and ‘late night’ slots have minimum discounts. August month has the high number of discounts provided.</w:t>
      </w:r>
    </w:p>
    <w:p w:rsidR="0078157F" w:rsidRDefault="0078157F" w:rsidP="0078157F">
      <w:pPr>
        <w:pStyle w:val="ListParagraph"/>
      </w:pPr>
    </w:p>
    <w:p w:rsidR="0078157F" w:rsidRDefault="007D5ADE" w:rsidP="00A33617">
      <w:pPr>
        <w:pStyle w:val="ListParagraph"/>
        <w:jc w:val="center"/>
      </w:pPr>
      <w:r>
        <w:rPr>
          <w:noProof/>
        </w:rPr>
        <w:drawing>
          <wp:inline distT="0" distB="0" distL="0" distR="0" wp14:anchorId="3CE4AB3C" wp14:editId="2B89F67D">
            <wp:extent cx="5994400" cy="2743200"/>
            <wp:effectExtent l="0" t="0" r="635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AD1F677-5A70-48EE-B00E-EBF48FA05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157F" w:rsidRDefault="0078157F" w:rsidP="0078157F">
      <w:pPr>
        <w:pStyle w:val="ListParagraph"/>
      </w:pPr>
    </w:p>
    <w:p w:rsidR="00826706" w:rsidRDefault="00DB5D81" w:rsidP="00826706">
      <w:pPr>
        <w:pStyle w:val="ListParagraph"/>
        <w:numPr>
          <w:ilvl w:val="0"/>
          <w:numId w:val="1"/>
        </w:numPr>
      </w:pPr>
      <w:r>
        <w:lastRenderedPageBreak/>
        <w:t xml:space="preserve">It can be inferred </w:t>
      </w:r>
      <w:r w:rsidR="0078157F">
        <w:t>that nigh</w:t>
      </w:r>
      <w:r w:rsidR="007D5ADE">
        <w:t>t</w:t>
      </w:r>
      <w:r w:rsidR="0078157F">
        <w:t xml:space="preserve"> slots have higher delivery charges and lesser discounts this can cause a restrain in the number of orders from the same slot going forward.</w:t>
      </w:r>
    </w:p>
    <w:p w:rsidR="00296609" w:rsidRPr="00EE5950" w:rsidRDefault="00296609" w:rsidP="00826706">
      <w:pPr>
        <w:rPr>
          <w:b/>
          <w:sz w:val="28"/>
        </w:rPr>
      </w:pPr>
      <w:r w:rsidRPr="00EE5950">
        <w:rPr>
          <w:b/>
          <w:sz w:val="28"/>
        </w:rPr>
        <w:t>2. Completion Rate Analysis:</w:t>
      </w:r>
    </w:p>
    <w:p w:rsidR="0078157F" w:rsidRDefault="0078157F" w:rsidP="0078157F">
      <w:pPr>
        <w:pStyle w:val="ListParagraph"/>
        <w:numPr>
          <w:ilvl w:val="0"/>
          <w:numId w:val="2"/>
        </w:numPr>
      </w:pPr>
      <w:r>
        <w:t xml:space="preserve">Sunday is the day where maximum orders have been placed. Morning orders on a Sunday </w:t>
      </w:r>
      <w:r w:rsidR="00142F10">
        <w:t>have</w:t>
      </w:r>
      <w:r>
        <w:t xml:space="preserve"> precedence </w:t>
      </w:r>
      <w:r w:rsidR="00142F10">
        <w:t>when compared to other slots. The completion rates are also high here.</w:t>
      </w:r>
    </w:p>
    <w:p w:rsidR="00142F10" w:rsidRDefault="00142F10" w:rsidP="0078157F">
      <w:pPr>
        <w:pStyle w:val="ListParagraph"/>
        <w:numPr>
          <w:ilvl w:val="0"/>
          <w:numId w:val="2"/>
        </w:numPr>
      </w:pPr>
      <w:r>
        <w:t xml:space="preserve">Tuesday has the least orders made out of the rest of the week. </w:t>
      </w:r>
    </w:p>
    <w:p w:rsidR="00142F10" w:rsidRDefault="00142F10" w:rsidP="0078157F">
      <w:pPr>
        <w:pStyle w:val="ListParagraph"/>
        <w:numPr>
          <w:ilvl w:val="0"/>
          <w:numId w:val="2"/>
        </w:numPr>
      </w:pPr>
      <w:r>
        <w:t>Completion rate for Saturday morning is least in comparison to other days.</w:t>
      </w:r>
    </w:p>
    <w:p w:rsidR="00142F10" w:rsidRDefault="006D5434" w:rsidP="006D5434">
      <w:pPr>
        <w:ind w:left="360"/>
      </w:pPr>
      <w:r>
        <w:rPr>
          <w:noProof/>
        </w:rPr>
        <w:drawing>
          <wp:inline distT="0" distB="0" distL="0" distR="0" wp14:anchorId="08AE94AF" wp14:editId="62CAADF5">
            <wp:extent cx="6362700" cy="2927350"/>
            <wp:effectExtent l="0" t="0" r="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88A0DD1-8EAE-4BF7-A0B5-F1011F6D51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04824">
        <w:rPr>
          <w:noProof/>
        </w:rPr>
        <w:t xml:space="preserve"> </w:t>
      </w:r>
    </w:p>
    <w:p w:rsidR="0078157F" w:rsidRDefault="0082262D" w:rsidP="0082262D">
      <w:pPr>
        <w:jc w:val="center"/>
      </w:pPr>
      <w:r>
        <w:rPr>
          <w:noProof/>
        </w:rPr>
        <w:drawing>
          <wp:inline distT="0" distB="0" distL="0" distR="0" wp14:anchorId="5D55558C" wp14:editId="2DBFC523">
            <wp:extent cx="6356350" cy="2743200"/>
            <wp:effectExtent l="0" t="0" r="635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C07BF0E-B1B0-4C46-836E-9948605047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4824" w:rsidRPr="00EE5950" w:rsidRDefault="00804824" w:rsidP="00826706">
      <w:pPr>
        <w:rPr>
          <w:b/>
          <w:sz w:val="28"/>
        </w:rPr>
      </w:pPr>
      <w:r w:rsidRPr="00EE5950">
        <w:rPr>
          <w:b/>
          <w:sz w:val="28"/>
        </w:rPr>
        <w:t>3. Customer Level Analysis</w:t>
      </w:r>
    </w:p>
    <w:p w:rsidR="00804824" w:rsidRDefault="009809ED" w:rsidP="00804824">
      <w:pPr>
        <w:pStyle w:val="ListParagraph"/>
        <w:numPr>
          <w:ilvl w:val="0"/>
          <w:numId w:val="3"/>
        </w:numPr>
      </w:pPr>
      <w:r>
        <w:t>It’s</w:t>
      </w:r>
      <w:r w:rsidR="00804824">
        <w:t xml:space="preserve"> been observed that </w:t>
      </w:r>
      <w:r>
        <w:t xml:space="preserve">large audience on </w:t>
      </w:r>
      <w:proofErr w:type="spellStart"/>
      <w:r w:rsidRPr="009809ED">
        <w:t>Freshco</w:t>
      </w:r>
      <w:proofErr w:type="spellEnd"/>
      <w:r w:rsidRPr="009809ED">
        <w:t xml:space="preserve"> Hypermarket Capstone</w:t>
      </w:r>
      <w:r>
        <w:t xml:space="preserve"> has been on the platform organically.</w:t>
      </w:r>
    </w:p>
    <w:p w:rsidR="009809ED" w:rsidRDefault="009809ED" w:rsidP="00804824">
      <w:pPr>
        <w:pStyle w:val="ListParagraph"/>
        <w:numPr>
          <w:ilvl w:val="0"/>
          <w:numId w:val="3"/>
        </w:numPr>
      </w:pPr>
      <w:r>
        <w:t>Audience received through snapchat is the least compared to other sources</w:t>
      </w:r>
      <w:r w:rsidR="00D82813">
        <w:t xml:space="preserve">, it is </w:t>
      </w:r>
      <w:r w:rsidR="00D82813" w:rsidRPr="00D82813">
        <w:t>11.04%</w:t>
      </w:r>
    </w:p>
    <w:p w:rsidR="009809ED" w:rsidRDefault="00D82813" w:rsidP="00804824">
      <w:pPr>
        <w:pStyle w:val="ListParagraph"/>
        <w:numPr>
          <w:ilvl w:val="0"/>
          <w:numId w:val="3"/>
        </w:numPr>
      </w:pPr>
      <w:r>
        <w:t>When product amount is into the picture, it’s can be inferred that maximum LTV</w:t>
      </w:r>
      <w:r w:rsidR="009809ED">
        <w:t xml:space="preserve"> for every customer is </w:t>
      </w:r>
      <w:r w:rsidR="009809ED" w:rsidRPr="009809ED">
        <w:t>62277</w:t>
      </w:r>
      <w:r>
        <w:t xml:space="preserve"> and minimum is 10.</w:t>
      </w:r>
    </w:p>
    <w:p w:rsidR="00D82813" w:rsidRDefault="00D82813" w:rsidP="00804824">
      <w:pPr>
        <w:pStyle w:val="ListParagraph"/>
        <w:numPr>
          <w:ilvl w:val="0"/>
          <w:numId w:val="3"/>
        </w:numPr>
      </w:pPr>
      <w:r>
        <w:t>A</w:t>
      </w:r>
      <w:r w:rsidRPr="00D82813">
        <w:t>t customer acquisition source level</w:t>
      </w:r>
      <w:r>
        <w:t xml:space="preserve">, the </w:t>
      </w:r>
      <w:r w:rsidRPr="00D82813">
        <w:t>aggregated LTV</w:t>
      </w:r>
      <w:r>
        <w:t xml:space="preserve"> maximum is </w:t>
      </w:r>
      <w:r w:rsidR="001923E8">
        <w:t>3217</w:t>
      </w:r>
      <w:r>
        <w:t xml:space="preserve"> which is for organic source and minimum is for </w:t>
      </w:r>
      <w:r w:rsidR="001923E8">
        <w:t xml:space="preserve">1282 </w:t>
      </w:r>
      <w:r>
        <w:t>Instagram source.</w:t>
      </w:r>
    </w:p>
    <w:p w:rsidR="00D82813" w:rsidRDefault="00D82813" w:rsidP="00C627C0">
      <w:pPr>
        <w:pStyle w:val="ListParagraph"/>
        <w:numPr>
          <w:ilvl w:val="0"/>
          <w:numId w:val="3"/>
        </w:numPr>
      </w:pPr>
      <w:r>
        <w:lastRenderedPageBreak/>
        <w:t>When considered a</w:t>
      </w:r>
      <w:r w:rsidRPr="00D82813">
        <w:t>ggregated LTV at acquisition month</w:t>
      </w:r>
      <w:r>
        <w:t xml:space="preserve">, </w:t>
      </w:r>
      <w:r w:rsidR="001923E8">
        <w:t>454</w:t>
      </w:r>
      <w:r>
        <w:t xml:space="preserve"> is the least value for September and </w:t>
      </w:r>
      <w:r w:rsidR="001923E8">
        <w:t xml:space="preserve">maximum value 5162 </w:t>
      </w:r>
      <w:r>
        <w:t>for January. The LTV is a deceasing trend.</w:t>
      </w:r>
    </w:p>
    <w:p w:rsidR="001B107B" w:rsidRDefault="001B107B" w:rsidP="0062764D">
      <w:pPr>
        <w:pStyle w:val="ListParagraph"/>
        <w:numPr>
          <w:ilvl w:val="0"/>
          <w:numId w:val="3"/>
        </w:numPr>
      </w:pPr>
      <w:r>
        <w:t>The highest A</w:t>
      </w:r>
      <w:r w:rsidR="00D82813" w:rsidRPr="00D82813">
        <w:t>verage Revenue</w:t>
      </w:r>
      <w:r>
        <w:t xml:space="preserve"> </w:t>
      </w:r>
      <w:r w:rsidR="00D82813" w:rsidRPr="00D82813">
        <w:t>at customer acquisition source level</w:t>
      </w:r>
      <w:r>
        <w:t xml:space="preserve"> is </w:t>
      </w:r>
      <w:r w:rsidR="00FB4390">
        <w:t>344</w:t>
      </w:r>
      <w:r w:rsidR="006D5434">
        <w:t>.16 by</w:t>
      </w:r>
      <w:r>
        <w:t xml:space="preserve"> Snapchat. </w:t>
      </w:r>
      <w:r w:rsidR="006D5434">
        <w:t xml:space="preserve">Followed by google whose </w:t>
      </w:r>
      <w:r>
        <w:t>average is</w:t>
      </w:r>
      <w:r w:rsidR="006D5434">
        <w:t xml:space="preserve"> 342.55</w:t>
      </w:r>
      <w:r>
        <w:t>.</w:t>
      </w:r>
    </w:p>
    <w:p w:rsidR="001B107B" w:rsidRDefault="001B107B" w:rsidP="001B107B">
      <w:pPr>
        <w:pStyle w:val="ListParagraph"/>
        <w:numPr>
          <w:ilvl w:val="0"/>
          <w:numId w:val="3"/>
        </w:numPr>
      </w:pPr>
      <w:r>
        <w:t xml:space="preserve">The highest </w:t>
      </w:r>
      <w:r w:rsidRPr="001B107B">
        <w:t>average Revenue</w:t>
      </w:r>
      <w:r>
        <w:t xml:space="preserve"> </w:t>
      </w:r>
      <w:r w:rsidRPr="001B107B">
        <w:t>per order at acquisition month level</w:t>
      </w:r>
      <w:r>
        <w:t xml:space="preserve"> is for the month of January </w:t>
      </w:r>
      <w:r w:rsidR="006D5434">
        <w:t>360.25</w:t>
      </w:r>
      <w:r>
        <w:t>.</w:t>
      </w:r>
    </w:p>
    <w:p w:rsidR="006D5434" w:rsidRDefault="006D5434" w:rsidP="001B107B">
      <w:pPr>
        <w:pStyle w:val="ListParagraph"/>
        <w:numPr>
          <w:ilvl w:val="0"/>
          <w:numId w:val="3"/>
        </w:numPr>
      </w:pPr>
      <w:r>
        <w:t>As per data we can see that order done in afternoon have the maximum number of 5 rating which is 4070. Maximum 1 rating are for night slot is which 45.</w:t>
      </w:r>
    </w:p>
    <w:p w:rsidR="006D5434" w:rsidRDefault="006D5434" w:rsidP="006D5434">
      <w:pPr>
        <w:pStyle w:val="ListParagraph"/>
        <w:jc w:val="center"/>
      </w:pPr>
      <w:r>
        <w:rPr>
          <w:noProof/>
        </w:rPr>
        <w:drawing>
          <wp:inline distT="0" distB="0" distL="0" distR="0" wp14:anchorId="3C54DC05" wp14:editId="1A5B2C6B">
            <wp:extent cx="6397625" cy="2743200"/>
            <wp:effectExtent l="0" t="0" r="317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D9C649A-0FFD-413E-9056-798B92C97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5434" w:rsidRDefault="006D5434" w:rsidP="006D5434"/>
    <w:p w:rsidR="006D5434" w:rsidRDefault="006D5434" w:rsidP="006D5434">
      <w:pPr>
        <w:pStyle w:val="ListParagraph"/>
        <w:numPr>
          <w:ilvl w:val="0"/>
          <w:numId w:val="3"/>
        </w:numPr>
      </w:pPr>
      <w:r>
        <w:t>Maximum number of products are ordered at afternoon slots the total sum of products ordered in that slot is 29120, out of which 19960 are rated at 5.</w:t>
      </w:r>
    </w:p>
    <w:p w:rsidR="006D5434" w:rsidRDefault="006D5434" w:rsidP="006D5434">
      <w:pPr>
        <w:pStyle w:val="ListParagraph"/>
        <w:jc w:val="center"/>
      </w:pPr>
      <w:r>
        <w:rPr>
          <w:noProof/>
        </w:rPr>
        <w:drawing>
          <wp:inline distT="0" distB="0" distL="0" distR="0" wp14:anchorId="7D5FB789" wp14:editId="5C10F3E9">
            <wp:extent cx="6388100" cy="2743200"/>
            <wp:effectExtent l="0" t="0" r="1270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CF95581-1757-430C-804D-1CF819EB0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B107B" w:rsidRDefault="001B107B" w:rsidP="001B107B">
      <w:pPr>
        <w:pStyle w:val="ListParagraph"/>
      </w:pPr>
    </w:p>
    <w:p w:rsidR="00EE5950" w:rsidRDefault="00EE5950" w:rsidP="001B107B">
      <w:pPr>
        <w:rPr>
          <w:b/>
          <w:sz w:val="28"/>
        </w:rPr>
      </w:pPr>
    </w:p>
    <w:p w:rsidR="00EE5950" w:rsidRDefault="00EE5950" w:rsidP="001B107B">
      <w:pPr>
        <w:rPr>
          <w:b/>
          <w:sz w:val="28"/>
        </w:rPr>
      </w:pPr>
    </w:p>
    <w:p w:rsidR="00EE5950" w:rsidRDefault="00EE5950" w:rsidP="001B107B">
      <w:pPr>
        <w:rPr>
          <w:b/>
          <w:sz w:val="28"/>
        </w:rPr>
      </w:pPr>
    </w:p>
    <w:p w:rsidR="00EE5950" w:rsidRDefault="00EE5950" w:rsidP="001B107B">
      <w:pPr>
        <w:rPr>
          <w:b/>
          <w:sz w:val="28"/>
        </w:rPr>
      </w:pPr>
    </w:p>
    <w:p w:rsidR="001B107B" w:rsidRPr="00EE5950" w:rsidRDefault="001B107B" w:rsidP="001B107B">
      <w:pPr>
        <w:rPr>
          <w:b/>
          <w:sz w:val="28"/>
        </w:rPr>
      </w:pPr>
      <w:bookmarkStart w:id="0" w:name="_GoBack"/>
      <w:bookmarkEnd w:id="0"/>
      <w:r w:rsidRPr="00EE5950">
        <w:rPr>
          <w:b/>
          <w:sz w:val="28"/>
        </w:rPr>
        <w:lastRenderedPageBreak/>
        <w:t>4. Delivery Level Analysis</w:t>
      </w:r>
    </w:p>
    <w:p w:rsidR="00BD5986" w:rsidRDefault="00BD5986" w:rsidP="00BD5986">
      <w:pPr>
        <w:pStyle w:val="ListParagraph"/>
        <w:numPr>
          <w:ilvl w:val="0"/>
          <w:numId w:val="5"/>
        </w:numPr>
      </w:pPr>
      <w:r w:rsidRPr="00BD5986">
        <w:t>Total orders placed</w:t>
      </w:r>
      <w:r>
        <w:t xml:space="preserve"> are </w:t>
      </w:r>
      <w:r w:rsidRPr="00BD5986">
        <w:t>22823</w:t>
      </w:r>
      <w:r>
        <w:t xml:space="preserve"> and </w:t>
      </w:r>
      <w:r w:rsidRPr="00BD5986">
        <w:t>Order successfully delivered</w:t>
      </w:r>
      <w:r>
        <w:t xml:space="preserve"> </w:t>
      </w:r>
      <w:r w:rsidRPr="00BD5986">
        <w:t>22721</w:t>
      </w:r>
      <w:r>
        <w:t xml:space="preserve">. The completion rate is </w:t>
      </w:r>
      <w:r w:rsidRPr="00BD5986">
        <w:t>99.55%</w:t>
      </w:r>
    </w:p>
    <w:p w:rsidR="00BD5986" w:rsidRDefault="00BD5986" w:rsidP="003C5E06">
      <w:pPr>
        <w:pStyle w:val="ListParagraph"/>
        <w:numPr>
          <w:ilvl w:val="0"/>
          <w:numId w:val="4"/>
        </w:numPr>
      </w:pPr>
      <w:r w:rsidRPr="00BD5986">
        <w:t xml:space="preserve">0.45% </w:t>
      </w:r>
      <w:r>
        <w:t xml:space="preserve">orders are not completed, cancelled orders are 102. </w:t>
      </w:r>
    </w:p>
    <w:p w:rsidR="004D456E" w:rsidRDefault="004D456E" w:rsidP="003C5E06">
      <w:pPr>
        <w:pStyle w:val="ListParagraph"/>
        <w:numPr>
          <w:ilvl w:val="0"/>
          <w:numId w:val="4"/>
        </w:numPr>
      </w:pPr>
      <w:r>
        <w:t xml:space="preserve">Out of cancelled orders, 69% orders got discontinued on weekdays and </w:t>
      </w:r>
      <w:r w:rsidR="001B107B" w:rsidRPr="001B107B">
        <w:tab/>
      </w:r>
      <w:r>
        <w:t>30% on weekends.</w:t>
      </w:r>
    </w:p>
    <w:p w:rsidR="00C73AAF" w:rsidRDefault="00C73AAF" w:rsidP="003C5E06">
      <w:pPr>
        <w:pStyle w:val="ListParagraph"/>
        <w:numPr>
          <w:ilvl w:val="0"/>
          <w:numId w:val="4"/>
        </w:numPr>
      </w:pPr>
      <w:r>
        <w:t>27% delivery charges are applied in morning.</w:t>
      </w:r>
    </w:p>
    <w:p w:rsidR="001D0698" w:rsidRDefault="001D0698" w:rsidP="001D0698">
      <w:pPr>
        <w:pStyle w:val="ListParagraph"/>
        <w:numPr>
          <w:ilvl w:val="0"/>
          <w:numId w:val="4"/>
        </w:numPr>
      </w:pPr>
      <w:r>
        <w:t>If compared with delivery slot, afternoon slot is having most amount of delivery charges (</w:t>
      </w:r>
      <w:r w:rsidRPr="001D0698">
        <w:t>113584</w:t>
      </w:r>
      <w:r>
        <w:t>) and late night is having the least amount of charges (51300).</w:t>
      </w:r>
    </w:p>
    <w:p w:rsidR="001D0698" w:rsidRDefault="001D0698" w:rsidP="001D0698">
      <w:pPr>
        <w:jc w:val="center"/>
      </w:pPr>
      <w:r>
        <w:rPr>
          <w:noProof/>
        </w:rPr>
        <w:drawing>
          <wp:inline distT="0" distB="0" distL="0" distR="0" wp14:anchorId="2D310099" wp14:editId="4BF0B1B1">
            <wp:extent cx="5778500" cy="2743200"/>
            <wp:effectExtent l="0" t="0" r="1270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EA9D0D7-F54C-4203-89B9-66D9D66FD9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0698" w:rsidRDefault="001D0698" w:rsidP="001D0698"/>
    <w:p w:rsidR="001D0698" w:rsidRDefault="001D0698" w:rsidP="001D0698">
      <w:pPr>
        <w:pStyle w:val="ListParagraph"/>
        <w:numPr>
          <w:ilvl w:val="0"/>
          <w:numId w:val="4"/>
        </w:numPr>
      </w:pPr>
      <w:r>
        <w:t xml:space="preserve">If compared with delivery area, </w:t>
      </w:r>
      <w:r w:rsidRPr="001D0698">
        <w:t>HSR Layout</w:t>
      </w:r>
      <w:r>
        <w:t xml:space="preserve"> is having most amount of delivery charges (</w:t>
      </w:r>
      <w:r w:rsidRPr="001D0698">
        <w:t>283891</w:t>
      </w:r>
      <w:r>
        <w:t xml:space="preserve">) and </w:t>
      </w:r>
      <w:proofErr w:type="spellStart"/>
      <w:r w:rsidRPr="001D0698">
        <w:t>Bellandur</w:t>
      </w:r>
      <w:proofErr w:type="spellEnd"/>
      <w:r w:rsidRPr="001D0698">
        <w:t xml:space="preserve">, </w:t>
      </w:r>
      <w:proofErr w:type="spellStart"/>
      <w:r w:rsidRPr="001D0698">
        <w:t>Ecospace</w:t>
      </w:r>
      <w:proofErr w:type="spellEnd"/>
      <w:r>
        <w:t xml:space="preserve"> is having the least amount of charges (39).</w:t>
      </w:r>
    </w:p>
    <w:p w:rsidR="001D0698" w:rsidRDefault="001D0698" w:rsidP="001D0698">
      <w:pPr>
        <w:jc w:val="center"/>
      </w:pPr>
      <w:r>
        <w:rPr>
          <w:noProof/>
        </w:rPr>
        <w:drawing>
          <wp:inline distT="0" distB="0" distL="0" distR="0" wp14:anchorId="0B084AB8" wp14:editId="58272638">
            <wp:extent cx="6045200" cy="2743200"/>
            <wp:effectExtent l="0" t="0" r="1270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90B7C8D-5608-4003-8F05-9D075173B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2813" w:rsidRDefault="004D456E" w:rsidP="004D456E">
      <w:pPr>
        <w:pStyle w:val="ListParagraph"/>
      </w:pPr>
      <w:r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1B107B" w:rsidRPr="001B107B">
        <w:tab/>
      </w:r>
      <w:r w:rsidR="00D82813" w:rsidRPr="00D82813">
        <w:tab/>
      </w:r>
      <w:r w:rsidR="00D82813" w:rsidRPr="00D82813">
        <w:tab/>
      </w:r>
      <w:r w:rsidR="00D82813" w:rsidRPr="00D82813">
        <w:tab/>
      </w:r>
      <w:r w:rsidR="00D82813" w:rsidRPr="00D82813">
        <w:tab/>
      </w:r>
      <w:r w:rsidR="00D82813" w:rsidRPr="00D82813">
        <w:tab/>
      </w:r>
    </w:p>
    <w:sectPr w:rsidR="00D82813" w:rsidSect="00804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78D1"/>
    <w:multiLevelType w:val="hybridMultilevel"/>
    <w:tmpl w:val="8560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4850"/>
    <w:multiLevelType w:val="hybridMultilevel"/>
    <w:tmpl w:val="E55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02C46"/>
    <w:multiLevelType w:val="hybridMultilevel"/>
    <w:tmpl w:val="4E5C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76A2"/>
    <w:multiLevelType w:val="hybridMultilevel"/>
    <w:tmpl w:val="D72A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97070"/>
    <w:multiLevelType w:val="hybridMultilevel"/>
    <w:tmpl w:val="87AA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416F8"/>
    <w:multiLevelType w:val="hybridMultilevel"/>
    <w:tmpl w:val="1B5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09"/>
    <w:rsid w:val="00012936"/>
    <w:rsid w:val="00016C94"/>
    <w:rsid w:val="0003248A"/>
    <w:rsid w:val="000A6351"/>
    <w:rsid w:val="00142F10"/>
    <w:rsid w:val="001605CA"/>
    <w:rsid w:val="001923E8"/>
    <w:rsid w:val="001B107B"/>
    <w:rsid w:val="001D0698"/>
    <w:rsid w:val="00296609"/>
    <w:rsid w:val="004D456E"/>
    <w:rsid w:val="00525B32"/>
    <w:rsid w:val="006B6363"/>
    <w:rsid w:val="006D5434"/>
    <w:rsid w:val="00753971"/>
    <w:rsid w:val="0078157F"/>
    <w:rsid w:val="007D5ADE"/>
    <w:rsid w:val="00804824"/>
    <w:rsid w:val="00817CE3"/>
    <w:rsid w:val="0082262D"/>
    <w:rsid w:val="00826706"/>
    <w:rsid w:val="00885998"/>
    <w:rsid w:val="009809ED"/>
    <w:rsid w:val="00A33617"/>
    <w:rsid w:val="00A84DF8"/>
    <w:rsid w:val="00B34B91"/>
    <w:rsid w:val="00BD5986"/>
    <w:rsid w:val="00C627C0"/>
    <w:rsid w:val="00C73AAF"/>
    <w:rsid w:val="00C901F1"/>
    <w:rsid w:val="00D82813"/>
    <w:rsid w:val="00DB5D81"/>
    <w:rsid w:val="00DC5FBB"/>
    <w:rsid w:val="00DD7EEA"/>
    <w:rsid w:val="00EE5950"/>
    <w:rsid w:val="00FB4390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1AC"/>
  <w15:chartTrackingRefBased/>
  <w15:docId w15:val="{8D875F31-6006-4432-A88B-F30869D4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hubh\Documents\Shubham\Capstone\Excel%20CapstoneTransactionData_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0" i="0" u="none" strike="noStrike" baseline="0">
                <a:effectLst/>
              </a:rPr>
              <a:t>% delivery charges at slot and month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Analysis'!$B$186:$B$187</c:f>
              <c:strCache>
                <c:ptCount val="1"/>
                <c:pt idx="0">
                  <c:v>Jan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Analysis'!$B$188:$B$193</c:f>
              <c:numCache>
                <c:formatCode>0.00%</c:formatCode>
                <c:ptCount val="5"/>
                <c:pt idx="0">
                  <c:v>9.3279371921598297E-2</c:v>
                </c:pt>
                <c:pt idx="1">
                  <c:v>0.10220631968505424</c:v>
                </c:pt>
                <c:pt idx="2">
                  <c:v>0.15912886632373571</c:v>
                </c:pt>
                <c:pt idx="3">
                  <c:v>0.10821960411254619</c:v>
                </c:pt>
                <c:pt idx="4">
                  <c:v>0.10817578952249926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6E-4A5B-85BB-CB3AA9333738}"/>
            </c:ext>
          </c:extLst>
        </c:ser>
        <c:ser>
          <c:idx val="1"/>
          <c:order val="1"/>
          <c:tx>
            <c:strRef>
              <c:f>'Order Level Analysis'!$C$186:$C$187</c:f>
              <c:strCache>
                <c:ptCount val="1"/>
                <c:pt idx="0">
                  <c:v>Feb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Analysis'!$C$188:$C$193</c:f>
              <c:numCache>
                <c:formatCode>0.00%</c:formatCode>
                <c:ptCount val="5"/>
                <c:pt idx="0">
                  <c:v>7.7695190902738076E-2</c:v>
                </c:pt>
                <c:pt idx="1">
                  <c:v>8.688846793486478E-2</c:v>
                </c:pt>
                <c:pt idx="2">
                  <c:v>0.16954260237780713</c:v>
                </c:pt>
                <c:pt idx="3">
                  <c:v>0.10100418977829796</c:v>
                </c:pt>
                <c:pt idx="4">
                  <c:v>0.10040261294182323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6E-4A5B-85BB-CB3AA9333738}"/>
            </c:ext>
          </c:extLst>
        </c:ser>
        <c:ser>
          <c:idx val="2"/>
          <c:order val="2"/>
          <c:tx>
            <c:strRef>
              <c:f>'Order Level Analysis'!$D$186:$D$187</c:f>
              <c:strCache>
                <c:ptCount val="1"/>
                <c:pt idx="0">
                  <c:v>Mar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Analysis'!$D$188:$D$193</c:f>
              <c:numCache>
                <c:formatCode>0.00%</c:formatCode>
                <c:ptCount val="5"/>
                <c:pt idx="0">
                  <c:v>7.5457601793051929E-2</c:v>
                </c:pt>
                <c:pt idx="1">
                  <c:v>8.3516095885158653E-2</c:v>
                </c:pt>
                <c:pt idx="2">
                  <c:v>0.15737352312954636</c:v>
                </c:pt>
                <c:pt idx="3">
                  <c:v>8.5130637595324826E-2</c:v>
                </c:pt>
                <c:pt idx="4">
                  <c:v>8.8928537890881773E-2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6E-4A5B-85BB-CB3AA9333738}"/>
            </c:ext>
          </c:extLst>
        </c:ser>
        <c:ser>
          <c:idx val="3"/>
          <c:order val="3"/>
          <c:tx>
            <c:strRef>
              <c:f>'Order Level Analysis'!$E$186:$E$187</c:f>
              <c:strCache>
                <c:ptCount val="1"/>
                <c:pt idx="0">
                  <c:v>Apr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Analysis'!$E$188:$E$193</c:f>
              <c:numCache>
                <c:formatCode>0.00%</c:formatCode>
                <c:ptCount val="5"/>
                <c:pt idx="0">
                  <c:v>7.8065862967419103E-2</c:v>
                </c:pt>
                <c:pt idx="1">
                  <c:v>8.228549897728496E-2</c:v>
                </c:pt>
                <c:pt idx="2">
                  <c:v>0.13536814148099746</c:v>
                </c:pt>
                <c:pt idx="3">
                  <c:v>7.9106709224520955E-2</c:v>
                </c:pt>
                <c:pt idx="4">
                  <c:v>9.4514393187398779E-2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6E-4A5B-85BB-CB3AA9333738}"/>
            </c:ext>
          </c:extLst>
        </c:ser>
        <c:ser>
          <c:idx val="4"/>
          <c:order val="4"/>
          <c:tx>
            <c:strRef>
              <c:f>'Order Level Analysis'!$F$186:$F$187</c:f>
              <c:strCache>
                <c:ptCount val="1"/>
                <c:pt idx="0">
                  <c:v>May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Analysis'!$F$188:$F$193</c:f>
              <c:numCache>
                <c:formatCode>0.00%</c:formatCode>
                <c:ptCount val="5"/>
                <c:pt idx="0">
                  <c:v>4.8690892066121656E-2</c:v>
                </c:pt>
                <c:pt idx="1">
                  <c:v>5.6391986738316122E-2</c:v>
                </c:pt>
                <c:pt idx="2">
                  <c:v>7.2161033042157235E-2</c:v>
                </c:pt>
                <c:pt idx="3">
                  <c:v>4.9239384309759708E-2</c:v>
                </c:pt>
                <c:pt idx="4">
                  <c:v>6.5003876970793489E-2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6E-4A5B-85BB-CB3AA9333738}"/>
            </c:ext>
          </c:extLst>
        </c:ser>
        <c:ser>
          <c:idx val="5"/>
          <c:order val="5"/>
          <c:tx>
            <c:strRef>
              <c:f>'Order Level Analysis'!$G$186:$G$187</c:f>
              <c:strCache>
                <c:ptCount val="1"/>
                <c:pt idx="0">
                  <c:v>Jun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Analysis'!$G$188:$G$193</c:f>
              <c:numCache>
                <c:formatCode>0.00%</c:formatCode>
                <c:ptCount val="5"/>
                <c:pt idx="0">
                  <c:v>5.164321046264108E-2</c:v>
                </c:pt>
                <c:pt idx="1">
                  <c:v>5.3805064403799993E-2</c:v>
                </c:pt>
                <c:pt idx="2">
                  <c:v>0.12461043530712777</c:v>
                </c:pt>
                <c:pt idx="3">
                  <c:v>4.7314120017777857E-2</c:v>
                </c:pt>
                <c:pt idx="4">
                  <c:v>6.3737914202572049E-2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96E-4A5B-85BB-CB3AA9333738}"/>
            </c:ext>
          </c:extLst>
        </c:ser>
        <c:ser>
          <c:idx val="6"/>
          <c:order val="6"/>
          <c:tx>
            <c:strRef>
              <c:f>'Order Level Analysis'!$H$186:$H$187</c:f>
              <c:strCache>
                <c:ptCount val="1"/>
                <c:pt idx="0">
                  <c:v>Jul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Analysis'!$H$188:$H$193</c:f>
              <c:numCache>
                <c:formatCode>0.00%</c:formatCode>
                <c:ptCount val="5"/>
                <c:pt idx="0">
                  <c:v>4.3337681331277918E-2</c:v>
                </c:pt>
                <c:pt idx="1">
                  <c:v>5.174968168242082E-2</c:v>
                </c:pt>
                <c:pt idx="2">
                  <c:v>0.1258890218998662</c:v>
                </c:pt>
                <c:pt idx="3">
                  <c:v>5.0574893960107968E-2</c:v>
                </c:pt>
                <c:pt idx="4">
                  <c:v>6.686911933091054E-2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96E-4A5B-85BB-CB3AA9333738}"/>
            </c:ext>
          </c:extLst>
        </c:ser>
        <c:ser>
          <c:idx val="7"/>
          <c:order val="7"/>
          <c:tx>
            <c:strRef>
              <c:f>'Order Level Analysis'!$I$186:$I$187</c:f>
              <c:strCache>
                <c:ptCount val="1"/>
                <c:pt idx="0">
                  <c:v>Aug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Analysis'!$I$188:$I$193</c:f>
              <c:numCache>
                <c:formatCode>0.00%</c:formatCode>
                <c:ptCount val="5"/>
                <c:pt idx="0">
                  <c:v>2.5903019935522072E-2</c:v>
                </c:pt>
                <c:pt idx="1">
                  <c:v>2.2315528521355103E-2</c:v>
                </c:pt>
                <c:pt idx="2">
                  <c:v>7.5868486352357323E-2</c:v>
                </c:pt>
                <c:pt idx="3">
                  <c:v>2.7805525893776384E-2</c:v>
                </c:pt>
                <c:pt idx="4">
                  <c:v>2.8327008854270686E-2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96E-4A5B-85BB-CB3AA9333738}"/>
            </c:ext>
          </c:extLst>
        </c:ser>
        <c:ser>
          <c:idx val="8"/>
          <c:order val="8"/>
          <c:tx>
            <c:strRef>
              <c:f>'Order Level Analysis'!$J$186:$J$187</c:f>
              <c:strCache>
                <c:ptCount val="1"/>
                <c:pt idx="0">
                  <c:v>Sep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'Order Level Analysis'!$A$188:$A$193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Analysis'!$J$188:$J$193</c:f>
              <c:numCache>
                <c:formatCode>0.00%</c:formatCode>
                <c:ptCount val="5"/>
                <c:pt idx="0">
                  <c:v>1.7355967825780739E-2</c:v>
                </c:pt>
                <c:pt idx="1">
                  <c:v>1.7055871675565912E-2</c:v>
                </c:pt>
                <c:pt idx="2">
                  <c:v>5.5506447587354409E-2</c:v>
                </c:pt>
                <c:pt idx="3">
                  <c:v>1.8872996494214894E-2</c:v>
                </c:pt>
                <c:pt idx="4">
                  <c:v>2.1728041244339222E-2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6E-4A5B-85BB-CB3AA9333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05027327"/>
        <c:axId val="729048799"/>
      </c:barChart>
      <c:catAx>
        <c:axId val="120502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 SLOT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048799"/>
        <c:crosses val="autoZero"/>
        <c:auto val="1"/>
        <c:lblAlgn val="ctr"/>
        <c:lblOffset val="100"/>
        <c:noMultiLvlLbl val="0"/>
      </c:catAx>
      <c:valAx>
        <c:axId val="72904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Delivery charges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02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Discount at slot and month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3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4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5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6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lumMod val="60000"/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lumMod val="60000"/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3">
                <a:lumMod val="60000"/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Analysis'!$B$203:$B$204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Analysis'!$B$205:$B$210</c:f>
              <c:numCache>
                <c:formatCode>0.00%</c:formatCode>
                <c:ptCount val="5"/>
                <c:pt idx="0">
                  <c:v>1.038464396954198E-2</c:v>
                </c:pt>
                <c:pt idx="1">
                  <c:v>1.2339152025527978E-2</c:v>
                </c:pt>
                <c:pt idx="2">
                  <c:v>7.2371790589440396E-3</c:v>
                </c:pt>
                <c:pt idx="3">
                  <c:v>9.266034905418755E-3</c:v>
                </c:pt>
                <c:pt idx="4">
                  <c:v>9.9782040778469954E-3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9-430F-97B7-42AD599C1319}"/>
            </c:ext>
          </c:extLst>
        </c:ser>
        <c:ser>
          <c:idx val="1"/>
          <c:order val="1"/>
          <c:tx>
            <c:strRef>
              <c:f>'Order Level Analysis'!$C$203:$C$204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Analysis'!$C$205:$C$210</c:f>
              <c:numCache>
                <c:formatCode>0.00%</c:formatCode>
                <c:ptCount val="5"/>
                <c:pt idx="0">
                  <c:v>3.6592338479130931E-3</c:v>
                </c:pt>
                <c:pt idx="1">
                  <c:v>4.2866163300516709E-3</c:v>
                </c:pt>
                <c:pt idx="2">
                  <c:v>5.8825957727873185E-3</c:v>
                </c:pt>
                <c:pt idx="3">
                  <c:v>1.1331060336200023E-2</c:v>
                </c:pt>
                <c:pt idx="4">
                  <c:v>7.9714128642111044E-3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B9-430F-97B7-42AD599C1319}"/>
            </c:ext>
          </c:extLst>
        </c:ser>
        <c:ser>
          <c:idx val="2"/>
          <c:order val="2"/>
          <c:tx>
            <c:strRef>
              <c:f>'Order Level Analysis'!$D$203:$D$204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Analysis'!$D$205:$D$210</c:f>
              <c:numCache>
                <c:formatCode>0.00%</c:formatCode>
                <c:ptCount val="5"/>
                <c:pt idx="0">
                  <c:v>8.9030008716224629E-3</c:v>
                </c:pt>
                <c:pt idx="1">
                  <c:v>6.0196616720089562E-3</c:v>
                </c:pt>
                <c:pt idx="2">
                  <c:v>6.2136850438393402E-3</c:v>
                </c:pt>
                <c:pt idx="3">
                  <c:v>5.6408710920097483E-3</c:v>
                </c:pt>
                <c:pt idx="4">
                  <c:v>5.8749647854258614E-3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B9-430F-97B7-42AD599C1319}"/>
            </c:ext>
          </c:extLst>
        </c:ser>
        <c:ser>
          <c:idx val="3"/>
          <c:order val="3"/>
          <c:tx>
            <c:strRef>
              <c:f>'Order Level Analysis'!$E$203:$E$204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Analysis'!$E$205:$E$210</c:f>
              <c:numCache>
                <c:formatCode>0.00%</c:formatCode>
                <c:ptCount val="5"/>
                <c:pt idx="0">
                  <c:v>1.0254734946574983E-2</c:v>
                </c:pt>
                <c:pt idx="1">
                  <c:v>6.3193024006889869E-3</c:v>
                </c:pt>
                <c:pt idx="2">
                  <c:v>4.9746000295103395E-3</c:v>
                </c:pt>
                <c:pt idx="3">
                  <c:v>6.7919366297996882E-3</c:v>
                </c:pt>
                <c:pt idx="4">
                  <c:v>8.991170785225433E-3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B9-430F-97B7-42AD599C1319}"/>
            </c:ext>
          </c:extLst>
        </c:ser>
        <c:ser>
          <c:idx val="4"/>
          <c:order val="4"/>
          <c:tx>
            <c:strRef>
              <c:f>'Order Level Analysis'!$F$203:$F$204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Analysis'!$F$205:$F$210</c:f>
              <c:numCache>
                <c:formatCode>0.00%</c:formatCode>
                <c:ptCount val="5"/>
                <c:pt idx="0">
                  <c:v>4.7928050629098634E-2</c:v>
                </c:pt>
                <c:pt idx="1">
                  <c:v>4.5380357196125473E-2</c:v>
                </c:pt>
                <c:pt idx="2">
                  <c:v>2.6205848841625523E-2</c:v>
                </c:pt>
                <c:pt idx="3">
                  <c:v>4.1480276535176899E-2</c:v>
                </c:pt>
                <c:pt idx="4">
                  <c:v>5.0708316410048124E-2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7B9-430F-97B7-42AD599C1319}"/>
            </c:ext>
          </c:extLst>
        </c:ser>
        <c:ser>
          <c:idx val="5"/>
          <c:order val="5"/>
          <c:tx>
            <c:strRef>
              <c:f>'Order Level Analysis'!$G$203:$G$204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Analysis'!$G$205:$G$210</c:f>
              <c:numCache>
                <c:formatCode>0.00%</c:formatCode>
                <c:ptCount val="5"/>
                <c:pt idx="0">
                  <c:v>2.3530222514893031E-2</c:v>
                </c:pt>
                <c:pt idx="1">
                  <c:v>1.8636532675208765E-2</c:v>
                </c:pt>
                <c:pt idx="2">
                  <c:v>1.8799638081833717E-2</c:v>
                </c:pt>
                <c:pt idx="3">
                  <c:v>1.7001152108531214E-2</c:v>
                </c:pt>
                <c:pt idx="4">
                  <c:v>1.8856880966974229E-2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7B9-430F-97B7-42AD599C1319}"/>
            </c:ext>
          </c:extLst>
        </c:ser>
        <c:ser>
          <c:idx val="6"/>
          <c:order val="6"/>
          <c:tx>
            <c:strRef>
              <c:f>'Order Level Analysis'!$H$203:$H$204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Analysis'!$H$205:$H$210</c:f>
              <c:numCache>
                <c:formatCode>0.00%</c:formatCode>
                <c:ptCount val="5"/>
                <c:pt idx="0">
                  <c:v>4.8405075299418947E-2</c:v>
                </c:pt>
                <c:pt idx="1">
                  <c:v>5.9110036115436866E-2</c:v>
                </c:pt>
                <c:pt idx="2">
                  <c:v>3.3149074008872612E-2</c:v>
                </c:pt>
                <c:pt idx="3">
                  <c:v>4.6394643670908266E-2</c:v>
                </c:pt>
                <c:pt idx="4">
                  <c:v>6.7356997062776924E-2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7B9-430F-97B7-42AD599C1319}"/>
            </c:ext>
          </c:extLst>
        </c:ser>
        <c:ser>
          <c:idx val="7"/>
          <c:order val="7"/>
          <c:tx>
            <c:strRef>
              <c:f>'Order Level Analysis'!$I$203:$I$204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Analysis'!$I$205:$I$210</c:f>
              <c:numCache>
                <c:formatCode>0.00%</c:formatCode>
                <c:ptCount val="5"/>
                <c:pt idx="0">
                  <c:v>0.21498782814658859</c:v>
                </c:pt>
                <c:pt idx="1">
                  <c:v>0.20412736720269903</c:v>
                </c:pt>
                <c:pt idx="2">
                  <c:v>0.13611972704714639</c:v>
                </c:pt>
                <c:pt idx="3">
                  <c:v>0.20863904102511108</c:v>
                </c:pt>
                <c:pt idx="4">
                  <c:v>0.2211237600692364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7B9-430F-97B7-42AD599C1319}"/>
            </c:ext>
          </c:extLst>
        </c:ser>
        <c:ser>
          <c:idx val="8"/>
          <c:order val="8"/>
          <c:tx>
            <c:strRef>
              <c:f>'Order Level Analysis'!$J$203:$J$204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'Order Level Analysis'!$A$205:$A$210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Analysis'!$J$205:$J$210</c:f>
              <c:numCache>
                <c:formatCode>0.00%</c:formatCode>
                <c:ptCount val="5"/>
                <c:pt idx="0">
                  <c:v>0.10470036500634429</c:v>
                </c:pt>
                <c:pt idx="1">
                  <c:v>0.11457382234136579</c:v>
                </c:pt>
                <c:pt idx="2">
                  <c:v>5.1021734608985028E-2</c:v>
                </c:pt>
                <c:pt idx="3">
                  <c:v>0.10957258543251083</c:v>
                </c:pt>
                <c:pt idx="4">
                  <c:v>9.7600959460459255E-2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7B9-430F-97B7-42AD599C1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1382461487"/>
        <c:axId val="1660790719"/>
      </c:barChart>
      <c:catAx>
        <c:axId val="1382461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 SLOT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790719"/>
        <c:crosses val="autoZero"/>
        <c:auto val="1"/>
        <c:lblAlgn val="ctr"/>
        <c:lblOffset val="100"/>
        <c:noMultiLvlLbl val="0"/>
      </c:catAx>
      <c:valAx>
        <c:axId val="166079071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Discount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crossAx val="1382461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Analysis'!$L$26</c:f>
              <c:strCache>
                <c:ptCount val="1"/>
                <c:pt idx="0">
                  <c:v>Completion Rate (Againts total order 22823)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Analysis'!$K$27:$K$78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Analysis'!$L$27:$L$78</c:f>
              <c:numCache>
                <c:formatCode>0.000%</c:formatCode>
                <c:ptCount val="52"/>
                <c:pt idx="0">
                  <c:v>9.2012443587608992E-4</c:v>
                </c:pt>
                <c:pt idx="1">
                  <c:v>2.6289269596459713E-4</c:v>
                </c:pt>
                <c:pt idx="2">
                  <c:v>8.7630898654865704E-5</c:v>
                </c:pt>
                <c:pt idx="3">
                  <c:v>2.1907724663716425E-4</c:v>
                </c:pt>
                <c:pt idx="4">
                  <c:v>1.3144634798229856E-4</c:v>
                </c:pt>
                <c:pt idx="5">
                  <c:v>1.9278797704070456E-3</c:v>
                </c:pt>
                <c:pt idx="6">
                  <c:v>1.2706480304955528E-3</c:v>
                </c:pt>
                <c:pt idx="7">
                  <c:v>4.3815449327432852E-5</c:v>
                </c:pt>
                <c:pt idx="8">
                  <c:v>4.3815449327432852E-5</c:v>
                </c:pt>
                <c:pt idx="9">
                  <c:v>5.8274547605485696E-3</c:v>
                </c:pt>
                <c:pt idx="10">
                  <c:v>4.8196994260176141E-4</c:v>
                </c:pt>
                <c:pt idx="11">
                  <c:v>4.2939140340884198E-3</c:v>
                </c:pt>
                <c:pt idx="12">
                  <c:v>4.8196994260176141E-4</c:v>
                </c:pt>
                <c:pt idx="13">
                  <c:v>4.3815449327432852E-5</c:v>
                </c:pt>
                <c:pt idx="14">
                  <c:v>2.3967050782105769E-2</c:v>
                </c:pt>
                <c:pt idx="15">
                  <c:v>2.2345879156990753E-3</c:v>
                </c:pt>
                <c:pt idx="16">
                  <c:v>4.3815449327432852E-5</c:v>
                </c:pt>
                <c:pt idx="17">
                  <c:v>1.4897252771327171E-3</c:v>
                </c:pt>
                <c:pt idx="18">
                  <c:v>1.4020943784778513E-3</c:v>
                </c:pt>
                <c:pt idx="19">
                  <c:v>4.3815449327432852E-5</c:v>
                </c:pt>
                <c:pt idx="20">
                  <c:v>0</c:v>
                </c:pt>
                <c:pt idx="21">
                  <c:v>4.3815449327432852E-5</c:v>
                </c:pt>
                <c:pt idx="22">
                  <c:v>3.5052359461946282E-4</c:v>
                </c:pt>
                <c:pt idx="23">
                  <c:v>8.7630898654865704E-5</c:v>
                </c:pt>
                <c:pt idx="24">
                  <c:v>2.6289269596459713E-4</c:v>
                </c:pt>
                <c:pt idx="25">
                  <c:v>4.3815449327432852E-5</c:v>
                </c:pt>
                <c:pt idx="26">
                  <c:v>5.7179161372299871E-2</c:v>
                </c:pt>
                <c:pt idx="27">
                  <c:v>0.6833019322613153</c:v>
                </c:pt>
                <c:pt idx="28">
                  <c:v>3.0670814529202997E-4</c:v>
                </c:pt>
                <c:pt idx="29">
                  <c:v>0.17219471585681112</c:v>
                </c:pt>
                <c:pt idx="30">
                  <c:v>1.3144634798229856E-4</c:v>
                </c:pt>
                <c:pt idx="31">
                  <c:v>2.1907724663716425E-4</c:v>
                </c:pt>
                <c:pt idx="32">
                  <c:v>3.0670814529202997E-4</c:v>
                </c:pt>
                <c:pt idx="33">
                  <c:v>2.6289269596459713E-4</c:v>
                </c:pt>
                <c:pt idx="34">
                  <c:v>4.3815449327432852E-5</c:v>
                </c:pt>
                <c:pt idx="35">
                  <c:v>3.9433904394689566E-4</c:v>
                </c:pt>
                <c:pt idx="36">
                  <c:v>4.3815449327432852E-5</c:v>
                </c:pt>
                <c:pt idx="37">
                  <c:v>6.9666564430618232E-3</c:v>
                </c:pt>
                <c:pt idx="38">
                  <c:v>2.256495640362792E-2</c:v>
                </c:pt>
                <c:pt idx="39">
                  <c:v>1.7526179730973141E-4</c:v>
                </c:pt>
                <c:pt idx="40">
                  <c:v>4.3815449327432852E-5</c:v>
                </c:pt>
                <c:pt idx="41">
                  <c:v>3.4614204968671952E-3</c:v>
                </c:pt>
                <c:pt idx="42">
                  <c:v>8.7630898654865704E-5</c:v>
                </c:pt>
                <c:pt idx="43">
                  <c:v>4.3815449327432852E-5</c:v>
                </c:pt>
                <c:pt idx="44">
                  <c:v>8.7630898654865704E-5</c:v>
                </c:pt>
                <c:pt idx="45">
                  <c:v>8.7630898654865702E-4</c:v>
                </c:pt>
                <c:pt idx="46">
                  <c:v>4.3815449327432852E-5</c:v>
                </c:pt>
                <c:pt idx="47">
                  <c:v>4.3815449327432852E-5</c:v>
                </c:pt>
                <c:pt idx="48">
                  <c:v>2.6289269596459713E-4</c:v>
                </c:pt>
                <c:pt idx="49">
                  <c:v>0</c:v>
                </c:pt>
                <c:pt idx="50">
                  <c:v>1.7526179730973141E-4</c:v>
                </c:pt>
                <c:pt idx="51">
                  <c:v>3.0670814529202997E-4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07-4B36-9588-A94C6B532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95620463"/>
        <c:axId val="2022206127"/>
      </c:barChart>
      <c:catAx>
        <c:axId val="1995620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Drop Area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206127"/>
        <c:crosses val="autoZero"/>
        <c:auto val="1"/>
        <c:lblAlgn val="ctr"/>
        <c:lblOffset val="100"/>
        <c:noMultiLvlLbl val="0"/>
      </c:catAx>
      <c:valAx>
        <c:axId val="202220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Completion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620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'Completion Rate Analysis'!$S$26</c:f>
              <c:strCache>
                <c:ptCount val="1"/>
                <c:pt idx="0">
                  <c:v>Completion Rate (Againts totals order in area)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'Completion Rate Analysis'!$R$27:$R$78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Analysis'!$S$27:$S$78</c:f>
              <c:numCache>
                <c:formatCode>0.00%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0.5</c:v>
                </c:pt>
                <c:pt idx="9">
                  <c:v>0.9925373134328358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0.99274047186932846</c:v>
                </c:pt>
                <c:pt idx="15">
                  <c:v>0.98076923076923073</c:v>
                </c:pt>
                <c:pt idx="16">
                  <c:v>1</c:v>
                </c:pt>
                <c:pt idx="17">
                  <c:v>0.97142857142857142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0.75</c:v>
                </c:pt>
                <c:pt idx="25">
                  <c:v>1</c:v>
                </c:pt>
                <c:pt idx="26">
                  <c:v>0.99694423223834994</c:v>
                </c:pt>
                <c:pt idx="27">
                  <c:v>0.9960401098550169</c:v>
                </c:pt>
                <c:pt idx="28">
                  <c:v>0.875</c:v>
                </c:pt>
                <c:pt idx="29">
                  <c:v>0.99594526102382164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0.99375000000000002</c:v>
                </c:pt>
                <c:pt idx="38">
                  <c:v>0.99420849420849422</c:v>
                </c:pt>
                <c:pt idx="39">
                  <c:v>1</c:v>
                </c:pt>
                <c:pt idx="40">
                  <c:v>1</c:v>
                </c:pt>
                <c:pt idx="41">
                  <c:v>0.98750000000000004</c:v>
                </c:pt>
                <c:pt idx="42">
                  <c:v>0.66666666666666663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0.8571428571428571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1E-4FF4-A985-BAE47FDD3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2304463"/>
        <c:axId val="1380702719"/>
      </c:lineChart>
      <c:catAx>
        <c:axId val="139230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Drop Area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702719"/>
        <c:crosses val="autoZero"/>
        <c:auto val="1"/>
        <c:lblAlgn val="ctr"/>
        <c:lblOffset val="100"/>
        <c:noMultiLvlLbl val="0"/>
      </c:catAx>
      <c:valAx>
        <c:axId val="138070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Completion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2304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Analysis!PivotTable47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 Rating Across Slots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Analysis'!$E$58:$E$59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Analysis'!$D$60:$D$66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Analysis'!$E$60:$E$66</c:f>
              <c:numCache>
                <c:formatCode>0</c:formatCode>
                <c:ptCount val="6"/>
                <c:pt idx="0">
                  <c:v>35</c:v>
                </c:pt>
                <c:pt idx="1">
                  <c:v>19</c:v>
                </c:pt>
                <c:pt idx="2">
                  <c:v>74</c:v>
                </c:pt>
                <c:pt idx="3">
                  <c:v>284</c:v>
                </c:pt>
                <c:pt idx="4">
                  <c:v>1438</c:v>
                </c:pt>
                <c:pt idx="5">
                  <c:v>4070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91-41ED-AED3-E7F063D85554}"/>
            </c:ext>
          </c:extLst>
        </c:ser>
        <c:ser>
          <c:idx val="1"/>
          <c:order val="1"/>
          <c:tx>
            <c:strRef>
              <c:f>'Customer Level Analysis'!$F$58:$F$59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Analysis'!$D$60:$D$66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Analysis'!$F$60:$F$66</c:f>
              <c:numCache>
                <c:formatCode>0</c:formatCode>
                <c:ptCount val="6"/>
                <c:pt idx="0">
                  <c:v>39</c:v>
                </c:pt>
                <c:pt idx="1">
                  <c:v>13</c:v>
                </c:pt>
                <c:pt idx="2">
                  <c:v>49</c:v>
                </c:pt>
                <c:pt idx="3">
                  <c:v>233</c:v>
                </c:pt>
                <c:pt idx="4">
                  <c:v>1149</c:v>
                </c:pt>
                <c:pt idx="5">
                  <c:v>3223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91-41ED-AED3-E7F063D85554}"/>
            </c:ext>
          </c:extLst>
        </c:ser>
        <c:ser>
          <c:idx val="2"/>
          <c:order val="2"/>
          <c:tx>
            <c:strRef>
              <c:f>'Customer Level Analysis'!$G$58:$G$59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'Customer Level Analysis'!$D$60:$D$66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Analysis'!$G$60:$G$66</c:f>
              <c:numCache>
                <c:formatCode>0</c:formatCode>
                <c:ptCount val="6"/>
                <c:pt idx="0">
                  <c:v>15</c:v>
                </c:pt>
                <c:pt idx="1">
                  <c:v>7</c:v>
                </c:pt>
                <c:pt idx="2">
                  <c:v>19</c:v>
                </c:pt>
                <c:pt idx="3">
                  <c:v>56</c:v>
                </c:pt>
                <c:pt idx="4">
                  <c:v>500</c:v>
                </c:pt>
                <c:pt idx="5">
                  <c:v>1005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91-41ED-AED3-E7F063D85554}"/>
            </c:ext>
          </c:extLst>
        </c:ser>
        <c:ser>
          <c:idx val="3"/>
          <c:order val="3"/>
          <c:tx>
            <c:strRef>
              <c:f>'Customer Level Analysis'!$H$58:$H$59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'Customer Level Analysis'!$D$60:$D$66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Analysis'!$H$60:$H$66</c:f>
              <c:numCache>
                <c:formatCode>0</c:formatCode>
                <c:ptCount val="6"/>
                <c:pt idx="0">
                  <c:v>37</c:v>
                </c:pt>
                <c:pt idx="1">
                  <c:v>17</c:v>
                </c:pt>
                <c:pt idx="2">
                  <c:v>51</c:v>
                </c:pt>
                <c:pt idx="3">
                  <c:v>290</c:v>
                </c:pt>
                <c:pt idx="4">
                  <c:v>1279</c:v>
                </c:pt>
                <c:pt idx="5">
                  <c:v>3714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91-41ED-AED3-E7F063D85554}"/>
            </c:ext>
          </c:extLst>
        </c:ser>
        <c:ser>
          <c:idx val="4"/>
          <c:order val="4"/>
          <c:tx>
            <c:strRef>
              <c:f>'Customer Level Analysis'!$I$58:$I$59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'Customer Level Analysis'!$D$60:$D$66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Analysis'!$I$60:$I$66</c:f>
              <c:numCache>
                <c:formatCode>0</c:formatCode>
                <c:ptCount val="6"/>
                <c:pt idx="0">
                  <c:v>45</c:v>
                </c:pt>
                <c:pt idx="1">
                  <c:v>17</c:v>
                </c:pt>
                <c:pt idx="2">
                  <c:v>55</c:v>
                </c:pt>
                <c:pt idx="3">
                  <c:v>264</c:v>
                </c:pt>
                <c:pt idx="4">
                  <c:v>1354</c:v>
                </c:pt>
                <c:pt idx="5">
                  <c:v>3472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191-41ED-AED3-E7F063D85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2388927"/>
        <c:axId val="1389616655"/>
      </c:barChart>
      <c:catAx>
        <c:axId val="882388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616655"/>
        <c:crosses val="autoZero"/>
        <c:auto val="1"/>
        <c:lblAlgn val="ctr"/>
        <c:lblOffset val="100"/>
        <c:noMultiLvlLbl val="0"/>
      </c:catAx>
      <c:valAx>
        <c:axId val="138961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8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Analysis!PivotTable48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Rating against Total Porducts</a:t>
            </a:r>
            <a:r>
              <a:rPr lang="en-US" baseline="0"/>
              <a:t> 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Analysis'!$E$73:$E$74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Analysis'!$D$75:$D$81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Analysis'!$E$75:$E$81</c:f>
              <c:numCache>
                <c:formatCode>0</c:formatCode>
                <c:ptCount val="6"/>
                <c:pt idx="0">
                  <c:v>194</c:v>
                </c:pt>
                <c:pt idx="1">
                  <c:v>96</c:v>
                </c:pt>
                <c:pt idx="2">
                  <c:v>392</c:v>
                </c:pt>
                <c:pt idx="3">
                  <c:v>1567</c:v>
                </c:pt>
                <c:pt idx="4">
                  <c:v>6911</c:v>
                </c:pt>
                <c:pt idx="5">
                  <c:v>19960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0D-4C97-8179-5E2B3048916C}"/>
            </c:ext>
          </c:extLst>
        </c:ser>
        <c:ser>
          <c:idx val="1"/>
          <c:order val="1"/>
          <c:tx>
            <c:strRef>
              <c:f>'Customer Level Analysis'!$F$73:$F$74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Analysis'!$D$75:$D$81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Analysis'!$F$75:$F$81</c:f>
              <c:numCache>
                <c:formatCode>0</c:formatCode>
                <c:ptCount val="6"/>
                <c:pt idx="0">
                  <c:v>187</c:v>
                </c:pt>
                <c:pt idx="1">
                  <c:v>93</c:v>
                </c:pt>
                <c:pt idx="2">
                  <c:v>231</c:v>
                </c:pt>
                <c:pt idx="3">
                  <c:v>1261</c:v>
                </c:pt>
                <c:pt idx="4">
                  <c:v>5810</c:v>
                </c:pt>
                <c:pt idx="5">
                  <c:v>15766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0D-4C97-8179-5E2B3048916C}"/>
            </c:ext>
          </c:extLst>
        </c:ser>
        <c:ser>
          <c:idx val="2"/>
          <c:order val="2"/>
          <c:tx>
            <c:strRef>
              <c:f>'Customer Level Analysis'!$G$73:$G$74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'Customer Level Analysis'!$D$75:$D$81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Analysis'!$G$75:$G$81</c:f>
              <c:numCache>
                <c:formatCode>0</c:formatCode>
                <c:ptCount val="6"/>
                <c:pt idx="0">
                  <c:v>45</c:v>
                </c:pt>
                <c:pt idx="1">
                  <c:v>17</c:v>
                </c:pt>
                <c:pt idx="2">
                  <c:v>59</c:v>
                </c:pt>
                <c:pt idx="3">
                  <c:v>187</c:v>
                </c:pt>
                <c:pt idx="4">
                  <c:v>1381</c:v>
                </c:pt>
                <c:pt idx="5">
                  <c:v>2909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0D-4C97-8179-5E2B3048916C}"/>
            </c:ext>
          </c:extLst>
        </c:ser>
        <c:ser>
          <c:idx val="3"/>
          <c:order val="3"/>
          <c:tx>
            <c:strRef>
              <c:f>'Customer Level Analysis'!$H$73:$H$74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'Customer Level Analysis'!$D$75:$D$81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Analysis'!$H$75:$H$81</c:f>
              <c:numCache>
                <c:formatCode>0</c:formatCode>
                <c:ptCount val="6"/>
                <c:pt idx="0">
                  <c:v>164</c:v>
                </c:pt>
                <c:pt idx="1">
                  <c:v>105</c:v>
                </c:pt>
                <c:pt idx="2">
                  <c:v>296</c:v>
                </c:pt>
                <c:pt idx="3">
                  <c:v>1441</c:v>
                </c:pt>
                <c:pt idx="4">
                  <c:v>6786</c:v>
                </c:pt>
                <c:pt idx="5">
                  <c:v>18491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0D-4C97-8179-5E2B3048916C}"/>
            </c:ext>
          </c:extLst>
        </c:ser>
        <c:ser>
          <c:idx val="4"/>
          <c:order val="4"/>
          <c:tx>
            <c:strRef>
              <c:f>'Customer Level Analysis'!$I$73:$I$74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'Customer Level Analysis'!$D$75:$D$81</c:f>
              <c:strCach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4.9</c:v>
                </c:pt>
                <c:pt idx="5">
                  <c:v>5.0</c:v>
                </c:pt>
              </c:strCache>
            </c:strRef>
          </c:cat>
          <c:val>
            <c:numRef>
              <c:f>'Customer Level Analysis'!$I$75:$I$81</c:f>
              <c:numCache>
                <c:formatCode>0</c:formatCode>
                <c:ptCount val="6"/>
                <c:pt idx="0">
                  <c:v>195</c:v>
                </c:pt>
                <c:pt idx="1">
                  <c:v>76</c:v>
                </c:pt>
                <c:pt idx="2">
                  <c:v>229</c:v>
                </c:pt>
                <c:pt idx="3">
                  <c:v>1149</c:v>
                </c:pt>
                <c:pt idx="4">
                  <c:v>5317</c:v>
                </c:pt>
                <c:pt idx="5">
                  <c:v>14603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0D-4C97-8179-5E2B304891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1250799"/>
        <c:axId val="1672708239"/>
      </c:barChart>
      <c:catAx>
        <c:axId val="1071250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708239"/>
        <c:crosses val="autoZero"/>
        <c:auto val="1"/>
        <c:lblAlgn val="ctr"/>
        <c:lblOffset val="100"/>
        <c:noMultiLvlLbl val="0"/>
      </c:catAx>
      <c:valAx>
        <c:axId val="167270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Products Ordered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250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Analysis!PivotTable62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u="none" strike="noStrike" baseline="0">
                <a:effectLst/>
              </a:rPr>
              <a:t>Delivery Charges with Slot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'Delivery Analysis'!$B$109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'Delivery Analysis'!$A$110:$A$115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Analysis'!$B$110:$B$115</c:f>
              <c:numCache>
                <c:formatCode>General</c:formatCode>
                <c:ptCount val="5"/>
                <c:pt idx="0">
                  <c:v>113584</c:v>
                </c:pt>
                <c:pt idx="1">
                  <c:v>93779</c:v>
                </c:pt>
                <c:pt idx="2">
                  <c:v>51300</c:v>
                </c:pt>
                <c:pt idx="3">
                  <c:v>101848</c:v>
                </c:pt>
                <c:pt idx="4">
                  <c:v>108435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87-4E70-8B7B-0BFC417A811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876850479"/>
        <c:axId val="2037846095"/>
        <c:axId val="0"/>
      </c:bar3DChart>
      <c:catAx>
        <c:axId val="876850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846095"/>
        <c:crosses val="autoZero"/>
        <c:auto val="1"/>
        <c:lblAlgn val="ctr"/>
        <c:lblOffset val="100"/>
        <c:noMultiLvlLbl val="0"/>
      </c:catAx>
      <c:valAx>
        <c:axId val="20378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Delivery</a:t>
                </a:r>
                <a:r>
                  <a:rPr lang="en-US" baseline="0"/>
                  <a:t> Charges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850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CapstoneTransactionData_.xlsx]Delivery Analysis!PivotTable63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Delivery Charges with Delivery Area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Analysis'!$B$122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'Delivery Analysis'!$A$123:$A$173</c:f>
              <c:strCache>
                <c:ptCount val="50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Sarjapur Road</c:v>
                </c:pt>
                <c:pt idx="7">
                  <c:v>Bellandur, Green Glen</c:v>
                </c:pt>
                <c:pt idx="8">
                  <c:v>Manipal County</c:v>
                </c:pt>
                <c:pt idx="9">
                  <c:v>Bellandur, APR</c:v>
                </c:pt>
                <c:pt idx="10">
                  <c:v>Bommanahalli</c:v>
                </c:pt>
                <c:pt idx="11">
                  <c:v>Akshaya Nagar</c:v>
                </c:pt>
                <c:pt idx="12">
                  <c:v>BTM Stage 1</c:v>
                </c:pt>
                <c:pt idx="13">
                  <c:v>Bellandur - Off Sarjapur Road</c:v>
                </c:pt>
                <c:pt idx="14">
                  <c:v>BTM Stage 2</c:v>
                </c:pt>
                <c:pt idx="15">
                  <c:v>Sarjapur Road</c:v>
                </c:pt>
                <c:pt idx="16">
                  <c:v>Kadubeesanhali, Prestige</c:v>
                </c:pt>
                <c:pt idx="17">
                  <c:v>Indiranagar</c:v>
                </c:pt>
                <c:pt idx="18">
                  <c:v>Bilekahalli</c:v>
                </c:pt>
                <c:pt idx="19">
                  <c:v>JP Nagar Phase 4-5</c:v>
                </c:pt>
                <c:pt idx="20">
                  <c:v>Domlur, EGL</c:v>
                </c:pt>
                <c:pt idx="21">
                  <c:v>Bellandur, Sakara</c:v>
                </c:pt>
                <c:pt idx="22">
                  <c:v>Devarachikanna Halli</c:v>
                </c:pt>
                <c:pt idx="23">
                  <c:v>Arekere</c:v>
                </c:pt>
                <c:pt idx="24">
                  <c:v>JP Nagar Phase 6-7</c:v>
                </c:pt>
                <c:pt idx="25">
                  <c:v>Kumaraswamy Layout</c:v>
                </c:pt>
                <c:pt idx="26">
                  <c:v>Bannerghatta</c:v>
                </c:pt>
                <c:pt idx="27">
                  <c:v>Yemalur</c:v>
                </c:pt>
                <c:pt idx="28">
                  <c:v>JP Nagar Phase 1-3</c:v>
                </c:pt>
                <c:pt idx="29">
                  <c:v>Viveka Nagar</c:v>
                </c:pt>
                <c:pt idx="30">
                  <c:v>Basavanagudi</c:v>
                </c:pt>
                <c:pt idx="31">
                  <c:v>Doddanekundi</c:v>
                </c:pt>
                <c:pt idx="32">
                  <c:v>Wilson Garden, Shantinagar</c:v>
                </c:pt>
                <c:pt idx="33">
                  <c:v>Marathahalli</c:v>
                </c:pt>
                <c:pt idx="34">
                  <c:v>Brookefield</c:v>
                </c:pt>
                <c:pt idx="35">
                  <c:v>Banashankari Stage 2</c:v>
                </c:pt>
                <c:pt idx="36">
                  <c:v>CV Raman Nagar</c:v>
                </c:pt>
                <c:pt idx="37">
                  <c:v>Frazer Town</c:v>
                </c:pt>
                <c:pt idx="38">
                  <c:v>Vimanapura</c:v>
                </c:pt>
                <c:pt idx="39">
                  <c:v>Jayanagar</c:v>
                </c:pt>
                <c:pt idx="40">
                  <c:v>Mahadevapura</c:v>
                </c:pt>
                <c:pt idx="41">
                  <c:v>Pattandur</c:v>
                </c:pt>
                <c:pt idx="42">
                  <c:v>Challagatta</c:v>
                </c:pt>
                <c:pt idx="43">
                  <c:v>Richmond Town</c:v>
                </c:pt>
                <c:pt idx="44">
                  <c:v>JP Nagar Phase 8-9</c:v>
                </c:pt>
                <c:pt idx="45">
                  <c:v>Kadubeesanhali, PTP</c:v>
                </c:pt>
                <c:pt idx="46">
                  <c:v>Victoria Layout</c:v>
                </c:pt>
                <c:pt idx="47">
                  <c:v>Bellandur, Ecospace</c:v>
                </c:pt>
                <c:pt idx="48">
                  <c:v>Binnipet</c:v>
                </c:pt>
                <c:pt idx="49">
                  <c:v>Bellandur, ETV</c:v>
                </c:pt>
              </c:strCache>
            </c:strRef>
          </c:cat>
          <c:val>
            <c:numRef>
              <c:f>'Delivery Analysis'!$B$123:$B$173</c:f>
              <c:numCache>
                <c:formatCode>General</c:formatCode>
                <c:ptCount val="50"/>
                <c:pt idx="0">
                  <c:v>283891</c:v>
                </c:pt>
                <c:pt idx="1">
                  <c:v>65455</c:v>
                </c:pt>
                <c:pt idx="2">
                  <c:v>26690</c:v>
                </c:pt>
                <c:pt idx="3">
                  <c:v>21202</c:v>
                </c:pt>
                <c:pt idx="4">
                  <c:v>16692</c:v>
                </c:pt>
                <c:pt idx="5">
                  <c:v>7995</c:v>
                </c:pt>
                <c:pt idx="6">
                  <c:v>6816</c:v>
                </c:pt>
                <c:pt idx="7">
                  <c:v>4813</c:v>
                </c:pt>
                <c:pt idx="8">
                  <c:v>4656</c:v>
                </c:pt>
                <c:pt idx="9">
                  <c:v>2970</c:v>
                </c:pt>
                <c:pt idx="10">
                  <c:v>2642</c:v>
                </c:pt>
                <c:pt idx="11">
                  <c:v>2505</c:v>
                </c:pt>
                <c:pt idx="12">
                  <c:v>2485</c:v>
                </c:pt>
                <c:pt idx="13">
                  <c:v>2353</c:v>
                </c:pt>
                <c:pt idx="14">
                  <c:v>1788</c:v>
                </c:pt>
                <c:pt idx="15">
                  <c:v>1381</c:v>
                </c:pt>
                <c:pt idx="16">
                  <c:v>1099</c:v>
                </c:pt>
                <c:pt idx="17">
                  <c:v>994</c:v>
                </c:pt>
                <c:pt idx="18">
                  <c:v>849</c:v>
                </c:pt>
                <c:pt idx="19">
                  <c:v>823</c:v>
                </c:pt>
                <c:pt idx="20">
                  <c:v>812</c:v>
                </c:pt>
                <c:pt idx="21">
                  <c:v>773</c:v>
                </c:pt>
                <c:pt idx="22">
                  <c:v>766</c:v>
                </c:pt>
                <c:pt idx="23">
                  <c:v>762</c:v>
                </c:pt>
                <c:pt idx="24">
                  <c:v>759</c:v>
                </c:pt>
                <c:pt idx="25">
                  <c:v>585</c:v>
                </c:pt>
                <c:pt idx="26">
                  <c:v>555</c:v>
                </c:pt>
                <c:pt idx="27">
                  <c:v>545</c:v>
                </c:pt>
                <c:pt idx="28">
                  <c:v>529</c:v>
                </c:pt>
                <c:pt idx="29">
                  <c:v>515</c:v>
                </c:pt>
                <c:pt idx="30">
                  <c:v>465</c:v>
                </c:pt>
                <c:pt idx="31">
                  <c:v>397</c:v>
                </c:pt>
                <c:pt idx="32">
                  <c:v>380</c:v>
                </c:pt>
                <c:pt idx="33">
                  <c:v>350</c:v>
                </c:pt>
                <c:pt idx="34">
                  <c:v>332</c:v>
                </c:pt>
                <c:pt idx="35">
                  <c:v>290</c:v>
                </c:pt>
                <c:pt idx="36">
                  <c:v>287</c:v>
                </c:pt>
                <c:pt idx="37">
                  <c:v>259</c:v>
                </c:pt>
                <c:pt idx="38">
                  <c:v>210</c:v>
                </c:pt>
                <c:pt idx="39">
                  <c:v>200</c:v>
                </c:pt>
                <c:pt idx="40">
                  <c:v>195</c:v>
                </c:pt>
                <c:pt idx="41">
                  <c:v>180</c:v>
                </c:pt>
                <c:pt idx="42">
                  <c:v>172</c:v>
                </c:pt>
                <c:pt idx="43">
                  <c:v>165</c:v>
                </c:pt>
                <c:pt idx="44">
                  <c:v>130</c:v>
                </c:pt>
                <c:pt idx="45">
                  <c:v>120</c:v>
                </c:pt>
                <c:pt idx="46">
                  <c:v>75</c:v>
                </c:pt>
                <c:pt idx="47">
                  <c:v>39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55-47CF-83DD-5E23D429F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984083375"/>
        <c:axId val="729051711"/>
      </c:barChart>
      <c:catAx>
        <c:axId val="19840833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Delivery Area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051711"/>
        <c:crosses val="autoZero"/>
        <c:auto val="1"/>
        <c:lblAlgn val="ctr"/>
        <c:lblOffset val="100"/>
        <c:noMultiLvlLbl val="0"/>
      </c:catAx>
      <c:valAx>
        <c:axId val="72905171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Delivery Charges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083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POTE, REVATI</dc:creator>
  <cp:keywords/>
  <dc:description/>
  <cp:lastModifiedBy>Gunnal, Shubham</cp:lastModifiedBy>
  <cp:revision>20</cp:revision>
  <dcterms:created xsi:type="dcterms:W3CDTF">2023-12-31T02:41:00Z</dcterms:created>
  <dcterms:modified xsi:type="dcterms:W3CDTF">2024-03-31T12:47:00Z</dcterms:modified>
</cp:coreProperties>
</file>