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CCB19" w14:textId="374DB1F9" w:rsidR="00D6158B" w:rsidRDefault="00D6158B" w:rsidP="00D6158B">
      <w:pPr>
        <w:rPr>
          <w:rFonts w:ascii="Times New Roman" w:hAnsi="Times New Roman" w:cs="Times New Roman"/>
          <w:b/>
          <w:bCs/>
          <w:sz w:val="28"/>
          <w:szCs w:val="28"/>
        </w:rPr>
      </w:pPr>
      <w:r w:rsidRPr="00BE149C">
        <w:rPr>
          <w:rFonts w:ascii="Times New Roman" w:hAnsi="Times New Roman" w:cs="Times New Roman"/>
          <w:b/>
          <w:bCs/>
          <w:sz w:val="28"/>
          <w:szCs w:val="28"/>
        </w:rPr>
        <w:t>Practical No.</w:t>
      </w:r>
      <w:r w:rsidR="00F05DD5">
        <w:rPr>
          <w:rFonts w:ascii="Times New Roman" w:hAnsi="Times New Roman" w:cs="Times New Roman"/>
          <w:b/>
          <w:bCs/>
          <w:sz w:val="28"/>
          <w:szCs w:val="28"/>
        </w:rPr>
        <w:t>6</w:t>
      </w:r>
      <w:bookmarkStart w:id="0" w:name="_GoBack"/>
      <w:bookmarkEnd w:id="0"/>
      <w:r w:rsidRPr="00BE149C">
        <w:rPr>
          <w:rFonts w:ascii="Times New Roman" w:hAnsi="Times New Roman" w:cs="Times New Roman"/>
          <w:b/>
          <w:bCs/>
          <w:sz w:val="28"/>
          <w:szCs w:val="28"/>
        </w:rPr>
        <w:t xml:space="preserve">: Implementing </w:t>
      </w:r>
      <w:r w:rsidR="00D15A6F">
        <w:rPr>
          <w:rFonts w:ascii="Times New Roman" w:hAnsi="Times New Roman" w:cs="Times New Roman"/>
          <w:b/>
          <w:bCs/>
          <w:sz w:val="28"/>
          <w:szCs w:val="28"/>
        </w:rPr>
        <w:t>Clustering</w:t>
      </w:r>
      <w:r w:rsidRPr="00BE149C">
        <w:rPr>
          <w:rFonts w:ascii="Times New Roman" w:hAnsi="Times New Roman" w:cs="Times New Roman"/>
          <w:b/>
          <w:bCs/>
          <w:sz w:val="28"/>
          <w:szCs w:val="28"/>
        </w:rPr>
        <w:t xml:space="preserve"> </w:t>
      </w:r>
      <w:r w:rsidR="00D15A6F">
        <w:rPr>
          <w:rFonts w:ascii="Times New Roman" w:hAnsi="Times New Roman" w:cs="Times New Roman"/>
          <w:b/>
          <w:bCs/>
          <w:sz w:val="28"/>
          <w:szCs w:val="28"/>
        </w:rPr>
        <w:t>with</w:t>
      </w:r>
      <w:r w:rsidRPr="00BE149C">
        <w:rPr>
          <w:rFonts w:ascii="Times New Roman" w:hAnsi="Times New Roman" w:cs="Times New Roman"/>
          <w:b/>
          <w:bCs/>
          <w:sz w:val="28"/>
          <w:szCs w:val="28"/>
        </w:rPr>
        <w:t xml:space="preserve"> </w:t>
      </w:r>
      <w:r w:rsidR="00D15A6F">
        <w:rPr>
          <w:rFonts w:ascii="Times New Roman" w:hAnsi="Times New Roman" w:cs="Times New Roman"/>
          <w:b/>
          <w:bCs/>
          <w:sz w:val="28"/>
          <w:szCs w:val="28"/>
        </w:rPr>
        <w:t>Weka</w:t>
      </w:r>
    </w:p>
    <w:p w14:paraId="6A2F5AC5" w14:textId="77777777" w:rsidR="00D15A6F" w:rsidRDefault="00D15A6F" w:rsidP="00D6158B">
      <w:pPr>
        <w:rPr>
          <w:rFonts w:ascii="Times New Roman" w:hAnsi="Times New Roman" w:cs="Times New Roman"/>
          <w:b/>
          <w:bCs/>
          <w:sz w:val="28"/>
          <w:szCs w:val="28"/>
        </w:rPr>
      </w:pPr>
    </w:p>
    <w:p w14:paraId="436D7893" w14:textId="610B85E9" w:rsidR="00D15A6F" w:rsidRDefault="00D15A6F" w:rsidP="00D6158B">
      <w:pPr>
        <w:rPr>
          <w:rFonts w:ascii="Times New Roman" w:hAnsi="Times New Roman" w:cs="Times New Roman"/>
          <w:b/>
          <w:bCs/>
          <w:sz w:val="28"/>
          <w:szCs w:val="28"/>
        </w:rPr>
      </w:pPr>
      <w:r>
        <w:rPr>
          <w:rFonts w:ascii="Times New Roman" w:hAnsi="Times New Roman" w:cs="Times New Roman"/>
          <w:b/>
          <w:bCs/>
          <w:sz w:val="28"/>
          <w:szCs w:val="28"/>
        </w:rPr>
        <w:t>Introduction</w:t>
      </w:r>
    </w:p>
    <w:tbl>
      <w:tblPr>
        <w:tblStyle w:val="TableGrid"/>
        <w:tblW w:w="0" w:type="auto"/>
        <w:tblLook w:val="04A0" w:firstRow="1" w:lastRow="0" w:firstColumn="1" w:lastColumn="0" w:noHBand="0" w:noVBand="1"/>
      </w:tblPr>
      <w:tblGrid>
        <w:gridCol w:w="9350"/>
      </w:tblGrid>
      <w:tr w:rsidR="00D15A6F" w14:paraId="0A6B30BA" w14:textId="77777777" w:rsidTr="00D15A6F">
        <w:tc>
          <w:tcPr>
            <w:tcW w:w="9350" w:type="dxa"/>
          </w:tcPr>
          <w:p w14:paraId="04C86BA6" w14:textId="448A619C" w:rsidR="00D15A6F" w:rsidRDefault="00D15A6F" w:rsidP="00D15A6F">
            <w:pPr>
              <w:autoSpaceDE w:val="0"/>
              <w:autoSpaceDN w:val="0"/>
              <w:adjustRightInd w:val="0"/>
              <w:rPr>
                <w:rFonts w:ascii="ACaslonPro-Regular" w:eastAsia="ACaslonPro-Regular" w:cs="ACaslonPro-Regular"/>
                <w:kern w:val="0"/>
                <w:sz w:val="20"/>
                <w:szCs w:val="20"/>
              </w:rPr>
            </w:pPr>
            <w:r>
              <w:rPr>
                <w:rFonts w:ascii="ACaslonPro-Regular" w:eastAsia="ACaslonPro-Regular" w:cs="ACaslonPro-Regular"/>
                <w:kern w:val="0"/>
                <w:sz w:val="20"/>
                <w:szCs w:val="20"/>
              </w:rPr>
              <w:t>If data is not labeled then we can analyze this data by performing a clustering analysis, where clustering refers to the task of grouping a set of objects into classes of similar objects.</w:t>
            </w:r>
          </w:p>
          <w:p w14:paraId="30B2D391" w14:textId="77777777" w:rsidR="00D15A6F" w:rsidRDefault="00D15A6F" w:rsidP="00D15A6F">
            <w:pPr>
              <w:autoSpaceDE w:val="0"/>
              <w:autoSpaceDN w:val="0"/>
              <w:adjustRightInd w:val="0"/>
              <w:rPr>
                <w:rFonts w:ascii="ACaslonPro-Regular" w:eastAsia="ACaslonPro-Regular" w:cs="ACaslonPro-Regular"/>
                <w:kern w:val="0"/>
                <w:sz w:val="20"/>
                <w:szCs w:val="20"/>
              </w:rPr>
            </w:pPr>
          </w:p>
          <w:p w14:paraId="17D66D9D" w14:textId="0E7A3C26" w:rsidR="00D15A6F" w:rsidRDefault="00D15A6F" w:rsidP="00D15A6F">
            <w:pPr>
              <w:autoSpaceDE w:val="0"/>
              <w:autoSpaceDN w:val="0"/>
              <w:adjustRightInd w:val="0"/>
              <w:rPr>
                <w:rFonts w:ascii="ACaslonPro-Regular" w:eastAsia="ACaslonPro-Regular" w:cs="ACaslonPro-Regular"/>
                <w:kern w:val="0"/>
                <w:sz w:val="20"/>
                <w:szCs w:val="20"/>
              </w:rPr>
            </w:pPr>
            <w:r>
              <w:rPr>
                <w:rFonts w:ascii="ACaslonPro-Regular" w:eastAsia="ACaslonPro-Regular" w:cs="ACaslonPro-Regular"/>
                <w:kern w:val="0"/>
                <w:sz w:val="20"/>
                <w:szCs w:val="20"/>
              </w:rPr>
              <w:t>In this practical, we will apply clustering on Fisher</w:t>
            </w:r>
            <w:r>
              <w:rPr>
                <w:rFonts w:ascii="ACaslonPro-Regular" w:eastAsia="ACaslonPro-Regular" w:cs="ACaslonPro-Regular" w:hint="eastAsia"/>
                <w:kern w:val="0"/>
                <w:sz w:val="20"/>
                <w:szCs w:val="20"/>
              </w:rPr>
              <w:t>’</w:t>
            </w:r>
            <w:r>
              <w:rPr>
                <w:rFonts w:ascii="ACaslonPro-Regular" w:eastAsia="ACaslonPro-Regular" w:cs="ACaslonPro-Regular"/>
                <w:kern w:val="0"/>
                <w:sz w:val="20"/>
                <w:szCs w:val="20"/>
              </w:rPr>
              <w:t>s Iris dataset. We will use clustering algorithms</w:t>
            </w:r>
          </w:p>
          <w:p w14:paraId="0F95BFF7" w14:textId="77777777" w:rsidR="00D15A6F" w:rsidRDefault="00D15A6F" w:rsidP="00D15A6F">
            <w:pPr>
              <w:autoSpaceDE w:val="0"/>
              <w:autoSpaceDN w:val="0"/>
              <w:adjustRightInd w:val="0"/>
              <w:rPr>
                <w:rFonts w:ascii="ACaslonPro-Regular" w:eastAsia="ACaslonPro-Regular" w:cs="ACaslonPro-Regular"/>
                <w:kern w:val="0"/>
                <w:sz w:val="20"/>
                <w:szCs w:val="20"/>
              </w:rPr>
            </w:pPr>
            <w:r>
              <w:rPr>
                <w:rFonts w:ascii="ACaslonPro-Regular" w:eastAsia="ACaslonPro-Regular" w:cs="ACaslonPro-Regular"/>
                <w:kern w:val="0"/>
                <w:sz w:val="20"/>
                <w:szCs w:val="20"/>
              </w:rPr>
              <w:t xml:space="preserve">to group flower samples into clusters with similar flower dimensions. </w:t>
            </w:r>
          </w:p>
          <w:p w14:paraId="29238916" w14:textId="77777777" w:rsidR="00D15A6F" w:rsidRDefault="00D15A6F" w:rsidP="00D15A6F">
            <w:pPr>
              <w:autoSpaceDE w:val="0"/>
              <w:autoSpaceDN w:val="0"/>
              <w:adjustRightInd w:val="0"/>
              <w:rPr>
                <w:rFonts w:ascii="ACaslonPro-Regular" w:eastAsia="ACaslonPro-Regular" w:cs="ACaslonPro-Regular"/>
                <w:kern w:val="0"/>
                <w:sz w:val="20"/>
                <w:szCs w:val="20"/>
              </w:rPr>
            </w:pPr>
          </w:p>
          <w:p w14:paraId="23EC6030" w14:textId="77777777" w:rsidR="00D15A6F" w:rsidRDefault="00D15A6F" w:rsidP="00D15A6F">
            <w:pPr>
              <w:autoSpaceDE w:val="0"/>
              <w:autoSpaceDN w:val="0"/>
              <w:adjustRightInd w:val="0"/>
              <w:rPr>
                <w:rFonts w:ascii="ACaslonPro-Regular" w:eastAsia="ACaslonPro-Regular" w:cs="ACaslonPro-Regular"/>
                <w:kern w:val="0"/>
                <w:sz w:val="20"/>
                <w:szCs w:val="20"/>
              </w:rPr>
            </w:pPr>
            <w:r>
              <w:rPr>
                <w:rFonts w:ascii="ACaslonPro-Regular" w:eastAsia="ACaslonPro-Regular" w:cs="ACaslonPro-Regular"/>
                <w:kern w:val="0"/>
                <w:sz w:val="20"/>
                <w:szCs w:val="20"/>
              </w:rPr>
              <w:t>These clusters then become possible ways to group flowers samples into species. We will implement a simple k-means algorithm to cluster numerical attributes with the help of Weka and R.</w:t>
            </w:r>
          </w:p>
          <w:p w14:paraId="3DCFEA23" w14:textId="77777777" w:rsidR="00014114" w:rsidRDefault="00014114" w:rsidP="00D15A6F">
            <w:pPr>
              <w:autoSpaceDE w:val="0"/>
              <w:autoSpaceDN w:val="0"/>
              <w:adjustRightInd w:val="0"/>
              <w:rPr>
                <w:rFonts w:ascii="ACaslonPro-Regular" w:eastAsia="ACaslonPro-Regular" w:cs="ACaslonPro-Regular"/>
                <w:kern w:val="0"/>
                <w:sz w:val="20"/>
                <w:szCs w:val="20"/>
              </w:rPr>
            </w:pPr>
          </w:p>
          <w:p w14:paraId="40B2120C" w14:textId="3BCA47D7" w:rsidR="00014114" w:rsidRPr="00014114" w:rsidRDefault="00014114" w:rsidP="00D15A6F">
            <w:pPr>
              <w:autoSpaceDE w:val="0"/>
              <w:autoSpaceDN w:val="0"/>
              <w:adjustRightInd w:val="0"/>
              <w:rPr>
                <w:rFonts w:ascii="ACaslonPro-Regular" w:eastAsia="ACaslonPro-Regular" w:cs="ACaslonPro-Regular"/>
                <w:b/>
                <w:bCs/>
                <w:kern w:val="0"/>
                <w:sz w:val="20"/>
                <w:szCs w:val="20"/>
              </w:rPr>
            </w:pPr>
            <w:r w:rsidRPr="00014114">
              <w:rPr>
                <w:rFonts w:ascii="ACaslonPro-Regular" w:eastAsia="ACaslonPro-Regular" w:cs="ACaslonPro-Regular"/>
                <w:b/>
                <w:bCs/>
                <w:color w:val="FF0000"/>
                <w:kern w:val="0"/>
                <w:sz w:val="20"/>
                <w:szCs w:val="20"/>
              </w:rPr>
              <w:t>In clustering, we know the attributes for the instances, but we don</w:t>
            </w:r>
            <w:r w:rsidRPr="00014114">
              <w:rPr>
                <w:rFonts w:ascii="ACaslonPro-Regular" w:eastAsia="ACaslonPro-Regular" w:cs="ACaslonPro-Regular" w:hint="eastAsia"/>
                <w:b/>
                <w:bCs/>
                <w:color w:val="FF0000"/>
                <w:kern w:val="0"/>
                <w:sz w:val="20"/>
                <w:szCs w:val="20"/>
              </w:rPr>
              <w:t>’</w:t>
            </w:r>
            <w:r w:rsidRPr="00014114">
              <w:rPr>
                <w:rFonts w:ascii="ACaslonPro-Regular" w:eastAsia="ACaslonPro-Regular" w:cs="ACaslonPro-Regular"/>
                <w:b/>
                <w:bCs/>
                <w:color w:val="FF0000"/>
                <w:kern w:val="0"/>
                <w:sz w:val="20"/>
                <w:szCs w:val="20"/>
              </w:rPr>
              <w:t>t know the classes.</w:t>
            </w:r>
          </w:p>
        </w:tc>
      </w:tr>
    </w:tbl>
    <w:p w14:paraId="042F40CC" w14:textId="77777777" w:rsidR="00D15A6F" w:rsidRDefault="00D15A6F" w:rsidP="00D6158B">
      <w:pPr>
        <w:rPr>
          <w:rFonts w:ascii="Times New Roman" w:hAnsi="Times New Roman" w:cs="Times New Roman"/>
          <w:b/>
          <w:bCs/>
          <w:sz w:val="28"/>
          <w:szCs w:val="28"/>
        </w:rPr>
      </w:pPr>
    </w:p>
    <w:p w14:paraId="2DAA5932" w14:textId="2F02E0C8" w:rsidR="00D15A6F" w:rsidRDefault="00014114" w:rsidP="00D6158B">
      <w:pPr>
        <w:rPr>
          <w:rFonts w:ascii="Times New Roman" w:hAnsi="Times New Roman" w:cs="Times New Roman"/>
          <w:b/>
          <w:bCs/>
          <w:sz w:val="28"/>
          <w:szCs w:val="28"/>
        </w:rPr>
      </w:pPr>
      <w:r w:rsidRPr="00014114">
        <w:rPr>
          <w:rFonts w:ascii="Times New Roman" w:hAnsi="Times New Roman" w:cs="Times New Roman"/>
          <w:b/>
          <w:bCs/>
          <w:noProof/>
          <w:sz w:val="28"/>
          <w:szCs w:val="28"/>
        </w:rPr>
        <w:drawing>
          <wp:inline distT="0" distB="0" distL="0" distR="0" wp14:anchorId="62F90669" wp14:editId="50BE9BFB">
            <wp:extent cx="5943600" cy="4300855"/>
            <wp:effectExtent l="0" t="0" r="0" b="4445"/>
            <wp:docPr id="65905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008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014114" w14:paraId="67EA7D13" w14:textId="77777777" w:rsidTr="00014114">
        <w:tc>
          <w:tcPr>
            <w:tcW w:w="9350" w:type="dxa"/>
          </w:tcPr>
          <w:p w14:paraId="3DC92057" w14:textId="23358429" w:rsidR="00014114" w:rsidRPr="00014114" w:rsidRDefault="00014114" w:rsidP="00014114">
            <w:pPr>
              <w:autoSpaceDE w:val="0"/>
              <w:autoSpaceDN w:val="0"/>
              <w:adjustRightInd w:val="0"/>
              <w:rPr>
                <w:rFonts w:ascii="ACaslonPro-Regular" w:eastAsia="ACaslonPro-Regular" w:cs="ACaslonPro-Regular"/>
                <w:kern w:val="0"/>
                <w:sz w:val="20"/>
                <w:szCs w:val="20"/>
              </w:rPr>
            </w:pPr>
            <w:r>
              <w:rPr>
                <w:rFonts w:ascii="ACaslonPro-Regular" w:eastAsia="ACaslonPro-Regular" w:cs="ACaslonPro-Regular"/>
                <w:kern w:val="0"/>
                <w:sz w:val="20"/>
                <w:szCs w:val="20"/>
              </w:rPr>
              <w:lastRenderedPageBreak/>
              <w:t>Fisher</w:t>
            </w:r>
            <w:r>
              <w:rPr>
                <w:rFonts w:ascii="ACaslonPro-Regular" w:eastAsia="ACaslonPro-Regular" w:cs="ACaslonPro-Regular" w:hint="eastAsia"/>
                <w:kern w:val="0"/>
                <w:sz w:val="20"/>
                <w:szCs w:val="20"/>
              </w:rPr>
              <w:t>’</w:t>
            </w:r>
            <w:r>
              <w:rPr>
                <w:rFonts w:ascii="ACaslonPro-Regular" w:eastAsia="ACaslonPro-Regular" w:cs="ACaslonPro-Regular"/>
                <w:kern w:val="0"/>
                <w:sz w:val="20"/>
                <w:szCs w:val="20"/>
              </w:rPr>
              <w:t>s Iris dataset is already labeled, we will first make this dataset unlabeled by removing the class attribute, i.e., the species column. Then, we will apply clustering algorithms to cluster this data on the basis of its input attributes, i.e., Sepal length, Sepal width, Petal length, and Petal width.</w:t>
            </w:r>
          </w:p>
        </w:tc>
      </w:tr>
    </w:tbl>
    <w:p w14:paraId="3D46244D" w14:textId="77777777" w:rsidR="00014114" w:rsidRDefault="00014114" w:rsidP="00D6158B">
      <w:pPr>
        <w:rPr>
          <w:rFonts w:ascii="Times New Roman" w:hAnsi="Times New Roman" w:cs="Times New Roman"/>
          <w:b/>
          <w:bCs/>
          <w:sz w:val="28"/>
          <w:szCs w:val="28"/>
        </w:rPr>
      </w:pPr>
    </w:p>
    <w:p w14:paraId="77082D83" w14:textId="5F45DF5A" w:rsidR="000111B9" w:rsidRDefault="00350F50" w:rsidP="00D6158B">
      <w:r w:rsidRPr="00350F50">
        <w:rPr>
          <w:noProof/>
        </w:rPr>
        <w:drawing>
          <wp:inline distT="0" distB="0" distL="0" distR="0" wp14:anchorId="53B9585A" wp14:editId="78150FD6">
            <wp:extent cx="5943600" cy="3077210"/>
            <wp:effectExtent l="0" t="0" r="0" b="8890"/>
            <wp:docPr id="2049326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3016D0A5" w14:textId="77777777" w:rsidR="00350F50" w:rsidRDefault="00350F50" w:rsidP="00D6158B"/>
    <w:tbl>
      <w:tblPr>
        <w:tblStyle w:val="TableGrid"/>
        <w:tblW w:w="0" w:type="auto"/>
        <w:tblLook w:val="04A0" w:firstRow="1" w:lastRow="0" w:firstColumn="1" w:lastColumn="0" w:noHBand="0" w:noVBand="1"/>
      </w:tblPr>
      <w:tblGrid>
        <w:gridCol w:w="9350"/>
      </w:tblGrid>
      <w:tr w:rsidR="00350F50" w14:paraId="79D184FC" w14:textId="77777777" w:rsidTr="00350F50">
        <w:tc>
          <w:tcPr>
            <w:tcW w:w="9350" w:type="dxa"/>
          </w:tcPr>
          <w:p w14:paraId="6C404CDC" w14:textId="759A23D4" w:rsidR="00350F50" w:rsidRPr="00350F50" w:rsidRDefault="00350F50" w:rsidP="00350F50">
            <w:pPr>
              <w:autoSpaceDE w:val="0"/>
              <w:autoSpaceDN w:val="0"/>
              <w:adjustRightInd w:val="0"/>
              <w:rPr>
                <w:rFonts w:ascii="Asap-Bold" w:hAnsi="Asap-Bold" w:cs="Asap-Bold"/>
                <w:b/>
                <w:bCs/>
                <w:kern w:val="0"/>
                <w:sz w:val="28"/>
                <w:szCs w:val="28"/>
              </w:rPr>
            </w:pPr>
            <w:r>
              <w:rPr>
                <w:rFonts w:ascii="Asap-Bold" w:hAnsi="Asap-Bold" w:cs="Asap-Bold"/>
                <w:b/>
                <w:bCs/>
                <w:kern w:val="0"/>
                <w:sz w:val="28"/>
                <w:szCs w:val="28"/>
              </w:rPr>
              <w:t>Clustering Fisher’s Iris Dataset with the Simple k-Means Algorithm</w:t>
            </w:r>
          </w:p>
        </w:tc>
      </w:tr>
      <w:tr w:rsidR="00350F50" w14:paraId="5D70211A" w14:textId="77777777" w:rsidTr="00350F50">
        <w:tc>
          <w:tcPr>
            <w:tcW w:w="9350" w:type="dxa"/>
          </w:tcPr>
          <w:p w14:paraId="50EC31BD" w14:textId="77777777" w:rsidR="00350F50" w:rsidRDefault="00350F50" w:rsidP="00350F50">
            <w:pPr>
              <w:autoSpaceDE w:val="0"/>
              <w:autoSpaceDN w:val="0"/>
              <w:adjustRightInd w:val="0"/>
              <w:rPr>
                <w:rFonts w:ascii="ACaslonPro-Regular" w:eastAsia="ACaslonPro-Regular" w:cs="ACaslonPro-Regular"/>
                <w:kern w:val="0"/>
                <w:sz w:val="20"/>
                <w:szCs w:val="20"/>
              </w:rPr>
            </w:pPr>
            <w:r>
              <w:rPr>
                <w:rFonts w:ascii="ACaslonPro-Regular" w:eastAsia="ACaslonPro-Regular" w:cs="ACaslonPro-Regular"/>
                <w:kern w:val="0"/>
                <w:sz w:val="20"/>
                <w:szCs w:val="20"/>
              </w:rPr>
              <w:t>apply clustering on Fisher</w:t>
            </w:r>
            <w:r>
              <w:rPr>
                <w:rFonts w:ascii="ACaslonPro-Regular" w:eastAsia="ACaslonPro-Regular" w:cs="ACaslonPro-Regular" w:hint="eastAsia"/>
                <w:kern w:val="0"/>
                <w:sz w:val="20"/>
                <w:szCs w:val="20"/>
              </w:rPr>
              <w:t>’</w:t>
            </w:r>
            <w:r>
              <w:rPr>
                <w:rFonts w:ascii="ACaslonPro-Regular" w:eastAsia="ACaslonPro-Regular" w:cs="ACaslonPro-Regular"/>
                <w:kern w:val="0"/>
                <w:sz w:val="20"/>
                <w:szCs w:val="20"/>
              </w:rPr>
              <w:t>s Iris dataset using Weka</w:t>
            </w:r>
            <w:r>
              <w:rPr>
                <w:rFonts w:ascii="ACaslonPro-Regular" w:eastAsia="ACaslonPro-Regular" w:cs="ACaslonPro-Regular" w:hint="eastAsia"/>
                <w:kern w:val="0"/>
                <w:sz w:val="20"/>
                <w:szCs w:val="20"/>
              </w:rPr>
              <w:t>’</w:t>
            </w:r>
            <w:r>
              <w:rPr>
                <w:rFonts w:ascii="ACaslonPro-Regular" w:eastAsia="ACaslonPro-Regular" w:cs="ACaslonPro-Regular"/>
                <w:kern w:val="0"/>
                <w:sz w:val="20"/>
                <w:szCs w:val="20"/>
              </w:rPr>
              <w:t>s simple k-means algorithm. Since, Fisher</w:t>
            </w:r>
            <w:r>
              <w:rPr>
                <w:rFonts w:ascii="ACaslonPro-Regular" w:eastAsia="ACaslonPro-Regular" w:cs="ACaslonPro-Regular" w:hint="eastAsia"/>
                <w:kern w:val="0"/>
                <w:sz w:val="20"/>
                <w:szCs w:val="20"/>
              </w:rPr>
              <w:t>’</w:t>
            </w:r>
            <w:r>
              <w:rPr>
                <w:rFonts w:ascii="ACaslonPro-Regular" w:eastAsia="ACaslonPro-Regular" w:cs="ACaslonPro-Regular"/>
                <w:kern w:val="0"/>
                <w:sz w:val="20"/>
                <w:szCs w:val="20"/>
              </w:rPr>
              <w:t>s</w:t>
            </w:r>
          </w:p>
          <w:p w14:paraId="103CF5E8" w14:textId="77777777" w:rsidR="00350F50" w:rsidRDefault="00350F50" w:rsidP="00350F50">
            <w:pPr>
              <w:autoSpaceDE w:val="0"/>
              <w:autoSpaceDN w:val="0"/>
              <w:adjustRightInd w:val="0"/>
              <w:rPr>
                <w:rFonts w:ascii="ACaslonPro-Regular" w:eastAsia="ACaslonPro-Regular" w:cs="ACaslonPro-Regular"/>
                <w:kern w:val="0"/>
                <w:sz w:val="20"/>
                <w:szCs w:val="20"/>
              </w:rPr>
            </w:pPr>
            <w:r>
              <w:rPr>
                <w:rFonts w:ascii="ACaslonPro-Regular" w:eastAsia="ACaslonPro-Regular" w:cs="ACaslonPro-Regular"/>
                <w:kern w:val="0"/>
                <w:sz w:val="20"/>
                <w:szCs w:val="20"/>
              </w:rPr>
              <w:t>Iris dataset consists of samples belonging to three different species in the dataset, we will specify</w:t>
            </w:r>
          </w:p>
          <w:p w14:paraId="5610CC08" w14:textId="3ABA4645" w:rsidR="00350F50" w:rsidRPr="00350F50" w:rsidRDefault="00350F50" w:rsidP="00350F50">
            <w:pPr>
              <w:autoSpaceDE w:val="0"/>
              <w:autoSpaceDN w:val="0"/>
              <w:adjustRightInd w:val="0"/>
              <w:rPr>
                <w:rFonts w:ascii="ACaslonPro-Regular" w:eastAsia="ACaslonPro-Regular" w:cs="ACaslonPro-Regular"/>
                <w:kern w:val="0"/>
                <w:sz w:val="20"/>
                <w:szCs w:val="20"/>
              </w:rPr>
            </w:pPr>
            <w:proofErr w:type="spellStart"/>
            <w:r>
              <w:rPr>
                <w:rFonts w:ascii="ACaslonPro-Regular" w:eastAsia="ACaslonPro-Regular" w:cs="ACaslonPro-Regular"/>
                <w:kern w:val="0"/>
                <w:sz w:val="20"/>
                <w:szCs w:val="20"/>
              </w:rPr>
              <w:t>numClusters</w:t>
            </w:r>
            <w:proofErr w:type="spellEnd"/>
            <w:r>
              <w:rPr>
                <w:rFonts w:ascii="ACaslonPro-Regular" w:eastAsia="ACaslonPro-Regular" w:cs="ACaslonPro-Regular"/>
                <w:kern w:val="0"/>
                <w:sz w:val="20"/>
                <w:szCs w:val="20"/>
              </w:rPr>
              <w:t xml:space="preserve"> to be three. To help us interpret results, we</w:t>
            </w:r>
            <w:r>
              <w:rPr>
                <w:rFonts w:ascii="ACaslonPro-Regular" w:eastAsia="ACaslonPro-Regular" w:cs="ACaslonPro-Regular" w:hint="eastAsia"/>
                <w:kern w:val="0"/>
                <w:sz w:val="20"/>
                <w:szCs w:val="20"/>
              </w:rPr>
              <w:t>’</w:t>
            </w:r>
            <w:r>
              <w:rPr>
                <w:rFonts w:ascii="ACaslonPro-Regular" w:eastAsia="ACaslonPro-Regular" w:cs="ACaslonPro-Regular"/>
                <w:kern w:val="0"/>
                <w:sz w:val="20"/>
                <w:szCs w:val="20"/>
              </w:rPr>
              <w:t xml:space="preserve">ll set display </w:t>
            </w:r>
            <w:proofErr w:type="spellStart"/>
            <w:r>
              <w:rPr>
                <w:rFonts w:ascii="ACaslonPro-Regular" w:eastAsia="ACaslonPro-Regular" w:cs="ACaslonPro-Regular"/>
                <w:kern w:val="0"/>
                <w:sz w:val="20"/>
                <w:szCs w:val="20"/>
              </w:rPr>
              <w:t>StdDevs</w:t>
            </w:r>
            <w:proofErr w:type="spellEnd"/>
            <w:r>
              <w:rPr>
                <w:rFonts w:ascii="ACaslonPro-Regular" w:eastAsia="ACaslonPro-Regular" w:cs="ACaslonPro-Regular"/>
                <w:kern w:val="0"/>
                <w:sz w:val="20"/>
                <w:szCs w:val="20"/>
              </w:rPr>
              <w:t xml:space="preserve"> to true so that we can see the standard deviations for the instance cluster assignments as shown in Figure</w:t>
            </w:r>
          </w:p>
        </w:tc>
      </w:tr>
    </w:tbl>
    <w:p w14:paraId="54F16344" w14:textId="25929D94" w:rsidR="00350F50" w:rsidRDefault="00350F50" w:rsidP="00D6158B">
      <w:r w:rsidRPr="00350F50">
        <w:rPr>
          <w:noProof/>
        </w:rPr>
        <w:lastRenderedPageBreak/>
        <w:drawing>
          <wp:inline distT="0" distB="0" distL="0" distR="0" wp14:anchorId="2789E328" wp14:editId="5B1D06DA">
            <wp:extent cx="5943600" cy="3775710"/>
            <wp:effectExtent l="0" t="0" r="0" b="0"/>
            <wp:docPr id="196347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a:noFill/>
                    </a:ln>
                  </pic:spPr>
                </pic:pic>
              </a:graphicData>
            </a:graphic>
          </wp:inline>
        </w:drawing>
      </w:r>
    </w:p>
    <w:p w14:paraId="39FDFEB9" w14:textId="77777777" w:rsidR="00350F50" w:rsidRDefault="00350F50" w:rsidP="00350F50">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for clustering, data should be unlabeled, so let us ignore the label attribute, i.e.,</w:t>
      </w:r>
    </w:p>
    <w:p w14:paraId="6021DD64" w14:textId="77777777" w:rsidR="00350F50" w:rsidRDefault="00350F50" w:rsidP="00350F50">
      <w:pPr>
        <w:autoSpaceDE w:val="0"/>
        <w:autoSpaceDN w:val="0"/>
        <w:adjustRightInd w:val="0"/>
        <w:spacing w:after="0" w:line="240" w:lineRule="auto"/>
        <w:rPr>
          <w:rFonts w:ascii="ACaslonPro-BoldItalic" w:eastAsia="ACaslonPro-Regular" w:hAnsi="ACaslonPro-BoldItalic" w:cs="ACaslonPro-BoldItalic"/>
          <w:b/>
          <w:bCs/>
          <w:i/>
          <w:iCs/>
          <w:kern w:val="0"/>
          <w:sz w:val="20"/>
          <w:szCs w:val="20"/>
        </w:rPr>
      </w:pPr>
      <w:r>
        <w:rPr>
          <w:rFonts w:ascii="ACaslonPro-Regular" w:eastAsia="ACaslonPro-Regular" w:cs="ACaslonPro-Regular"/>
          <w:kern w:val="0"/>
          <w:sz w:val="20"/>
          <w:szCs w:val="20"/>
        </w:rPr>
        <w:t xml:space="preserve">the Species class attribute during application of the clustering algorithm, by using </w:t>
      </w:r>
      <w:r>
        <w:rPr>
          <w:rFonts w:ascii="ACaslonPro-BoldItalic" w:eastAsia="ACaslonPro-Regular" w:hAnsi="ACaslonPro-BoldItalic" w:cs="ACaslonPro-BoldItalic"/>
          <w:b/>
          <w:bCs/>
          <w:i/>
          <w:iCs/>
          <w:kern w:val="0"/>
          <w:sz w:val="20"/>
          <w:szCs w:val="20"/>
        </w:rPr>
        <w:t>Ignore attributes</w:t>
      </w:r>
    </w:p>
    <w:p w14:paraId="2E39AA2F" w14:textId="0E372B89" w:rsidR="00350F50" w:rsidRDefault="00350F50" w:rsidP="00350F50">
      <w:pPr>
        <w:rPr>
          <w:rFonts w:ascii="ACaslonPro-Regular" w:eastAsia="ACaslonPro-Regular" w:cs="ACaslonPro-Regular"/>
          <w:kern w:val="0"/>
          <w:sz w:val="20"/>
          <w:szCs w:val="20"/>
        </w:rPr>
      </w:pPr>
      <w:r>
        <w:rPr>
          <w:rFonts w:ascii="ACaslonPro-Regular" w:eastAsia="ACaslonPro-Regular" w:cs="ACaslonPro-Regular"/>
          <w:kern w:val="0"/>
          <w:sz w:val="20"/>
          <w:szCs w:val="20"/>
        </w:rPr>
        <w:t xml:space="preserve">and selecting </w:t>
      </w:r>
      <w:r>
        <w:rPr>
          <w:rFonts w:ascii="ACaslonPro-BoldItalic" w:eastAsia="ACaslonPro-Regular" w:hAnsi="ACaslonPro-BoldItalic" w:cs="ACaslonPro-BoldItalic"/>
          <w:b/>
          <w:bCs/>
          <w:i/>
          <w:iCs/>
          <w:kern w:val="0"/>
          <w:sz w:val="20"/>
          <w:szCs w:val="20"/>
        </w:rPr>
        <w:t xml:space="preserve">Class </w:t>
      </w:r>
      <w:r>
        <w:rPr>
          <w:rFonts w:ascii="ACaslonPro-Regular" w:eastAsia="ACaslonPro-Regular" w:cs="ACaslonPro-Regular"/>
          <w:kern w:val="0"/>
          <w:sz w:val="20"/>
          <w:szCs w:val="20"/>
        </w:rPr>
        <w:t xml:space="preserve">in the </w:t>
      </w:r>
      <w:r>
        <w:rPr>
          <w:rFonts w:ascii="ACaslonPro-BoldItalic" w:eastAsia="ACaslonPro-Regular" w:hAnsi="ACaslonPro-BoldItalic" w:cs="ACaslonPro-BoldItalic"/>
          <w:b/>
          <w:bCs/>
          <w:i/>
          <w:iCs/>
          <w:kern w:val="0"/>
          <w:sz w:val="20"/>
          <w:szCs w:val="20"/>
        </w:rPr>
        <w:t xml:space="preserve">Select items </w:t>
      </w:r>
      <w:r>
        <w:rPr>
          <w:rFonts w:ascii="ACaslonPro-Regular" w:eastAsia="ACaslonPro-Regular" w:cs="ACaslonPro-Regular"/>
          <w:kern w:val="0"/>
          <w:sz w:val="20"/>
          <w:szCs w:val="20"/>
        </w:rPr>
        <w:t>dialogue box as shown in Figure</w:t>
      </w:r>
    </w:p>
    <w:p w14:paraId="56C961B4" w14:textId="566B40F5" w:rsidR="00350F50" w:rsidRDefault="00350F50" w:rsidP="00350F50">
      <w:r w:rsidRPr="00350F50">
        <w:rPr>
          <w:noProof/>
        </w:rPr>
        <w:lastRenderedPageBreak/>
        <w:drawing>
          <wp:inline distT="0" distB="0" distL="0" distR="0" wp14:anchorId="37E44A10" wp14:editId="1EE75924">
            <wp:extent cx="5943600" cy="4192905"/>
            <wp:effectExtent l="0" t="0" r="0" b="0"/>
            <wp:docPr id="545124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2905"/>
                    </a:xfrm>
                    <a:prstGeom prst="rect">
                      <a:avLst/>
                    </a:prstGeom>
                    <a:noFill/>
                    <a:ln>
                      <a:noFill/>
                    </a:ln>
                  </pic:spPr>
                </pic:pic>
              </a:graphicData>
            </a:graphic>
          </wp:inline>
        </w:drawing>
      </w:r>
    </w:p>
    <w:p w14:paraId="19DAB886" w14:textId="77777777" w:rsidR="00350F50" w:rsidRDefault="00350F50" w:rsidP="00350F50"/>
    <w:p w14:paraId="65C1A7B9" w14:textId="4BA6BB5B" w:rsidR="00350F50" w:rsidRDefault="00350F50" w:rsidP="00350F50">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After applying the simple k-means clustering algorithm, we see the centroids of the three clusters and standard deviations for the sample values in each cluster as shown in Figure 8.6. For the results, we can verify that the k-means clustering algorithm identifies three clusters of data having 61 instances in first cluster, 50 instances in second cluster and 39 instances in third cluster.</w:t>
      </w:r>
    </w:p>
    <w:p w14:paraId="157BDDC7" w14:textId="77777777" w:rsidR="004772E8" w:rsidRDefault="004772E8" w:rsidP="00350F50">
      <w:pPr>
        <w:autoSpaceDE w:val="0"/>
        <w:autoSpaceDN w:val="0"/>
        <w:adjustRightInd w:val="0"/>
        <w:spacing w:after="0" w:line="240" w:lineRule="auto"/>
        <w:rPr>
          <w:rFonts w:ascii="ACaslonPro-Regular" w:eastAsia="ACaslonPro-Regular" w:cs="ACaslonPro-Regular"/>
          <w:kern w:val="0"/>
          <w:sz w:val="20"/>
          <w:szCs w:val="20"/>
        </w:rPr>
      </w:pPr>
    </w:p>
    <w:p w14:paraId="7D6DC59B" w14:textId="5D7306D5" w:rsidR="004772E8" w:rsidRDefault="004772E8" w:rsidP="00350F50">
      <w:pPr>
        <w:autoSpaceDE w:val="0"/>
        <w:autoSpaceDN w:val="0"/>
        <w:adjustRightInd w:val="0"/>
        <w:spacing w:after="0" w:line="240" w:lineRule="auto"/>
        <w:rPr>
          <w:rFonts w:ascii="ACaslonPro-Regular" w:eastAsia="ACaslonPro-Regular" w:cs="ACaslonPro-Regular"/>
          <w:kern w:val="0"/>
          <w:sz w:val="20"/>
          <w:szCs w:val="20"/>
        </w:rPr>
      </w:pPr>
      <w:r w:rsidRPr="004772E8">
        <w:rPr>
          <w:rFonts w:ascii="ACaslonPro-Regular" w:eastAsia="ACaslonPro-Regular" w:cs="ACaslonPro-Regular"/>
          <w:noProof/>
          <w:kern w:val="0"/>
          <w:sz w:val="20"/>
          <w:szCs w:val="20"/>
        </w:rPr>
        <w:lastRenderedPageBreak/>
        <w:drawing>
          <wp:inline distT="0" distB="0" distL="0" distR="0" wp14:anchorId="6C1958BB" wp14:editId="4EE40DCE">
            <wp:extent cx="5943600" cy="4070350"/>
            <wp:effectExtent l="0" t="0" r="0" b="6350"/>
            <wp:docPr id="664267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14:paraId="2365674D" w14:textId="77777777"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To compare the results given by the clustering algorithm with the actual clusters, we select the</w:t>
      </w:r>
    </w:p>
    <w:p w14:paraId="0438AE86" w14:textId="77777777"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Pr>
          <w:rFonts w:ascii="ACaslonPro-BoldItalic" w:eastAsia="ACaslonPro-Regular" w:hAnsi="ACaslonPro-BoldItalic" w:cs="ACaslonPro-BoldItalic"/>
          <w:b/>
          <w:bCs/>
          <w:i/>
          <w:iCs/>
          <w:kern w:val="0"/>
          <w:sz w:val="20"/>
          <w:szCs w:val="20"/>
        </w:rPr>
        <w:t xml:space="preserve">Classes to cluster evaluation </w:t>
      </w:r>
      <w:r>
        <w:rPr>
          <w:rFonts w:ascii="ACaslonPro-Regular" w:eastAsia="ACaslonPro-Regular" w:cs="ACaslonPro-Regular"/>
          <w:kern w:val="0"/>
          <w:sz w:val="20"/>
          <w:szCs w:val="20"/>
        </w:rPr>
        <w:t>in cluster mode and re-run the clustering algorithm as shown in Figure</w:t>
      </w:r>
    </w:p>
    <w:p w14:paraId="7C35E687" w14:textId="0D8BEAFA"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8.7. Using this, we can get more information on where Weka put each Iris sample.</w:t>
      </w:r>
    </w:p>
    <w:p w14:paraId="4AF35301" w14:textId="1B7560C6"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sidRPr="004772E8">
        <w:rPr>
          <w:rFonts w:ascii="ACaslonPro-Regular" w:eastAsia="ACaslonPro-Regular" w:cs="ACaslonPro-Regular"/>
          <w:noProof/>
          <w:kern w:val="0"/>
          <w:sz w:val="20"/>
          <w:szCs w:val="20"/>
        </w:rPr>
        <w:lastRenderedPageBreak/>
        <w:drawing>
          <wp:inline distT="0" distB="0" distL="0" distR="0" wp14:anchorId="51709AC9" wp14:editId="59A2B26A">
            <wp:extent cx="5943600" cy="4495165"/>
            <wp:effectExtent l="0" t="0" r="0" b="635"/>
            <wp:docPr id="2012426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14:paraId="40A7B526" w14:textId="77777777"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The clusters assigned by the clustering algorithm can be visualized across any of the input</w:t>
      </w:r>
    </w:p>
    <w:p w14:paraId="0702CA3B" w14:textId="2EB26CDF"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attributes. For example, Figure 8.8 shows the visualization of clusters along with the plot axis selected as Petal length and Petal width. Jitter may be increased to see all the samples.</w:t>
      </w:r>
    </w:p>
    <w:p w14:paraId="51069B72" w14:textId="0E2C3F5A"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sidRPr="004772E8">
        <w:rPr>
          <w:rFonts w:ascii="ACaslonPro-Regular" w:eastAsia="ACaslonPro-Regular" w:cs="ACaslonPro-Regular"/>
          <w:noProof/>
          <w:kern w:val="0"/>
          <w:sz w:val="20"/>
          <w:szCs w:val="20"/>
        </w:rPr>
        <w:lastRenderedPageBreak/>
        <w:drawing>
          <wp:inline distT="0" distB="0" distL="0" distR="0" wp14:anchorId="677F36CB" wp14:editId="6332B128">
            <wp:extent cx="5943600" cy="4263390"/>
            <wp:effectExtent l="0" t="0" r="0" b="3810"/>
            <wp:docPr id="1934683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63390"/>
                    </a:xfrm>
                    <a:prstGeom prst="rect">
                      <a:avLst/>
                    </a:prstGeom>
                    <a:noFill/>
                    <a:ln>
                      <a:noFill/>
                    </a:ln>
                  </pic:spPr>
                </pic:pic>
              </a:graphicData>
            </a:graphic>
          </wp:inline>
        </w:drawing>
      </w:r>
    </w:p>
    <w:p w14:paraId="6073062B" w14:textId="77777777"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p>
    <w:p w14:paraId="7008BE21" w14:textId="6675B934"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sidRPr="004772E8">
        <w:rPr>
          <w:rFonts w:ascii="ACaslonPro-Regular" w:eastAsia="ACaslonPro-Regular" w:cs="ACaslonPro-Regular"/>
          <w:kern w:val="0"/>
          <w:sz w:val="20"/>
          <w:szCs w:val="20"/>
        </w:rPr>
        <w:t>Through visual</w:t>
      </w:r>
      <w:r>
        <w:rPr>
          <w:rFonts w:ascii="ACaslonPro-Regular" w:eastAsia="ACaslonPro-Regular" w:cs="ACaslonPro-Regular"/>
          <w:kern w:val="0"/>
          <w:sz w:val="20"/>
          <w:szCs w:val="20"/>
        </w:rPr>
        <w:t xml:space="preserve"> </w:t>
      </w:r>
      <w:r w:rsidRPr="004772E8">
        <w:rPr>
          <w:rFonts w:ascii="ACaslonPro-Regular" w:eastAsia="ACaslonPro-Regular" w:cs="ACaslonPro-Regular"/>
          <w:kern w:val="0"/>
          <w:sz w:val="20"/>
          <w:szCs w:val="20"/>
        </w:rPr>
        <w:t>examination, it can be analyzed that some of the Versicolor instances that have been identified in</w:t>
      </w:r>
      <w:r>
        <w:rPr>
          <w:rFonts w:ascii="ACaslonPro-Regular" w:eastAsia="ACaslonPro-Regular" w:cs="ACaslonPro-Regular"/>
          <w:kern w:val="0"/>
          <w:sz w:val="20"/>
          <w:szCs w:val="20"/>
        </w:rPr>
        <w:t xml:space="preserve"> </w:t>
      </w:r>
      <w:r w:rsidRPr="004772E8">
        <w:rPr>
          <w:rFonts w:ascii="ACaslonPro-Regular" w:eastAsia="ACaslonPro-Regular" w:cs="ACaslonPro-Regular"/>
          <w:kern w:val="0"/>
          <w:sz w:val="20"/>
          <w:szCs w:val="20"/>
        </w:rPr>
        <w:t>the Virginica cluster, while it appears that on the basis of their Petal length vs. Petal width, they</w:t>
      </w:r>
      <w:r>
        <w:rPr>
          <w:rFonts w:ascii="ACaslonPro-Regular" w:eastAsia="ACaslonPro-Regular" w:cs="ACaslonPro-Regular"/>
          <w:kern w:val="0"/>
          <w:sz w:val="20"/>
          <w:szCs w:val="20"/>
        </w:rPr>
        <w:t xml:space="preserve"> </w:t>
      </w:r>
      <w:r w:rsidRPr="004772E8">
        <w:rPr>
          <w:rFonts w:ascii="ACaslonPro-Regular" w:eastAsia="ACaslonPro-Regular" w:cs="ACaslonPro-Regular"/>
          <w:kern w:val="0"/>
          <w:sz w:val="20"/>
          <w:szCs w:val="20"/>
        </w:rPr>
        <w:t xml:space="preserve">should be identified differently. And similarly, there are some </w:t>
      </w:r>
      <w:proofErr w:type="spellStart"/>
      <w:r w:rsidRPr="004772E8">
        <w:rPr>
          <w:rFonts w:ascii="ACaslonPro-Regular" w:eastAsia="ACaslonPro-Regular" w:cs="ACaslonPro-Regular"/>
          <w:kern w:val="0"/>
          <w:sz w:val="20"/>
          <w:szCs w:val="20"/>
        </w:rPr>
        <w:t>Verginica</w:t>
      </w:r>
      <w:proofErr w:type="spellEnd"/>
      <w:r w:rsidRPr="004772E8">
        <w:rPr>
          <w:rFonts w:ascii="ACaslonPro-Regular" w:eastAsia="ACaslonPro-Regular" w:cs="ACaslonPro-Regular"/>
          <w:kern w:val="0"/>
          <w:sz w:val="20"/>
          <w:szCs w:val="20"/>
        </w:rPr>
        <w:t xml:space="preserve"> instances identified as</w:t>
      </w:r>
      <w:r>
        <w:rPr>
          <w:rFonts w:ascii="ACaslonPro-Regular" w:eastAsia="ACaslonPro-Regular" w:cs="ACaslonPro-Regular"/>
          <w:kern w:val="0"/>
          <w:sz w:val="20"/>
          <w:szCs w:val="20"/>
        </w:rPr>
        <w:t xml:space="preserve"> </w:t>
      </w:r>
      <w:r w:rsidRPr="004772E8">
        <w:rPr>
          <w:rFonts w:ascii="ACaslonPro-Regular" w:eastAsia="ACaslonPro-Regular" w:cs="ACaslonPro-Regular"/>
          <w:kern w:val="0"/>
          <w:sz w:val="20"/>
          <w:szCs w:val="20"/>
        </w:rPr>
        <w:t>Versicolor while it appears that on the basis of the plot of Petal length vs. Petal width, they should</w:t>
      </w:r>
      <w:r>
        <w:rPr>
          <w:rFonts w:ascii="ACaslonPro-Regular" w:eastAsia="ACaslonPro-Regular" w:cs="ACaslonPro-Regular"/>
          <w:kern w:val="0"/>
          <w:sz w:val="20"/>
          <w:szCs w:val="20"/>
        </w:rPr>
        <w:t xml:space="preserve"> </w:t>
      </w:r>
      <w:r w:rsidRPr="004772E8">
        <w:rPr>
          <w:rFonts w:ascii="ACaslonPro-Regular" w:eastAsia="ACaslonPro-Regular" w:cs="ACaslonPro-Regular"/>
          <w:kern w:val="0"/>
          <w:sz w:val="20"/>
          <w:szCs w:val="20"/>
        </w:rPr>
        <w:t>be identified differently.</w:t>
      </w:r>
    </w:p>
    <w:p w14:paraId="355A814F" w14:textId="77777777" w:rsidR="006E6DFA" w:rsidRDefault="006E6DFA" w:rsidP="004772E8">
      <w:pPr>
        <w:autoSpaceDE w:val="0"/>
        <w:autoSpaceDN w:val="0"/>
        <w:adjustRightInd w:val="0"/>
        <w:spacing w:after="0" w:line="240" w:lineRule="auto"/>
        <w:rPr>
          <w:rFonts w:ascii="ACaslonPro-Regular" w:eastAsia="ACaslonPro-Regular" w:cs="ACaslonPro-Regular"/>
          <w:kern w:val="0"/>
          <w:sz w:val="20"/>
          <w:szCs w:val="20"/>
        </w:rPr>
      </w:pPr>
    </w:p>
    <w:p w14:paraId="01238F5E" w14:textId="77777777" w:rsidR="006E6DFA" w:rsidRDefault="006E6DFA" w:rsidP="006E6DFA">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Through visual examination shown in Figure 8.10, we have drawn boundaries which seems to</w:t>
      </w:r>
    </w:p>
    <w:p w14:paraId="4C3FC684" w14:textId="77777777" w:rsidR="006E6DFA" w:rsidRDefault="006E6DFA" w:rsidP="006E6DFA">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separate the three species pretty reliably, based on just two of these attributes, i.e., Petal length and</w:t>
      </w:r>
    </w:p>
    <w:p w14:paraId="45AF86BA" w14:textId="77777777" w:rsidR="006E6DFA" w:rsidRDefault="006E6DFA" w:rsidP="006E6DFA">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Petal width. Consider the example of sample 50 that is classed as Versicolor by Anderson, and lies</w:t>
      </w:r>
    </w:p>
    <w:p w14:paraId="79D06B87" w14:textId="77777777" w:rsidR="006E6DFA" w:rsidRDefault="006E6DFA" w:rsidP="006E6DFA">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on the Versicolor side of the species boundary. Therefore, the clustering algorithm should have put</w:t>
      </w:r>
    </w:p>
    <w:p w14:paraId="4BBA11B4" w14:textId="77777777" w:rsidR="006E6DFA" w:rsidRDefault="006E6DFA" w:rsidP="006E6DFA">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this sample in the Versicolor cluster. But the simple k-means put this sample in the Virginica cluster</w:t>
      </w:r>
    </w:p>
    <w:p w14:paraId="1296CC86" w14:textId="3C460361" w:rsidR="006E6DFA" w:rsidRDefault="006E6DFA" w:rsidP="006E6DFA">
      <w:pPr>
        <w:autoSpaceDE w:val="0"/>
        <w:autoSpaceDN w:val="0"/>
        <w:adjustRightInd w:val="0"/>
        <w:spacing w:after="0" w:line="240" w:lineRule="auto"/>
        <w:rPr>
          <w:rFonts w:ascii="ACaslonPro-Regular" w:eastAsia="ACaslonPro-Regular" w:cs="ACaslonPro-Regular"/>
          <w:kern w:val="0"/>
          <w:sz w:val="20"/>
          <w:szCs w:val="20"/>
        </w:rPr>
      </w:pPr>
      <w:r>
        <w:rPr>
          <w:rFonts w:ascii="ACaslonPro-Regular" w:eastAsia="ACaslonPro-Regular" w:cs="ACaslonPro-Regular"/>
          <w:kern w:val="0"/>
          <w:sz w:val="20"/>
          <w:szCs w:val="20"/>
        </w:rPr>
        <w:t>as shown in Figure</w:t>
      </w:r>
    </w:p>
    <w:p w14:paraId="20B5FDF5" w14:textId="77777777" w:rsidR="006E6DFA" w:rsidRDefault="006E6DFA" w:rsidP="006E6DFA">
      <w:pPr>
        <w:autoSpaceDE w:val="0"/>
        <w:autoSpaceDN w:val="0"/>
        <w:adjustRightInd w:val="0"/>
        <w:spacing w:after="0" w:line="240" w:lineRule="auto"/>
        <w:rPr>
          <w:rFonts w:ascii="ACaslonPro-Regular" w:eastAsia="ACaslonPro-Regular" w:cs="ACaslonPro-Regular"/>
          <w:kern w:val="0"/>
          <w:sz w:val="20"/>
          <w:szCs w:val="20"/>
        </w:rPr>
      </w:pPr>
    </w:p>
    <w:p w14:paraId="1F6D0801" w14:textId="4E09F8CA" w:rsidR="006E6DFA" w:rsidRDefault="006E6DFA" w:rsidP="006E6DFA">
      <w:pPr>
        <w:autoSpaceDE w:val="0"/>
        <w:autoSpaceDN w:val="0"/>
        <w:adjustRightInd w:val="0"/>
        <w:spacing w:after="0" w:line="240" w:lineRule="auto"/>
        <w:rPr>
          <w:rFonts w:ascii="ACaslonPro-Regular" w:eastAsia="ACaslonPro-Regular" w:cs="ACaslonPro-Regular"/>
          <w:kern w:val="0"/>
          <w:sz w:val="20"/>
          <w:szCs w:val="20"/>
        </w:rPr>
      </w:pPr>
      <w:r w:rsidRPr="006E6DFA">
        <w:rPr>
          <w:rFonts w:ascii="ACaslonPro-Regular" w:eastAsia="ACaslonPro-Regular" w:cs="ACaslonPro-Regular"/>
          <w:noProof/>
          <w:kern w:val="0"/>
          <w:sz w:val="20"/>
          <w:szCs w:val="20"/>
        </w:rPr>
        <w:lastRenderedPageBreak/>
        <w:drawing>
          <wp:inline distT="0" distB="0" distL="0" distR="0" wp14:anchorId="2476C19A" wp14:editId="5C74C377">
            <wp:extent cx="5943600" cy="3494405"/>
            <wp:effectExtent l="0" t="0" r="0" b="0"/>
            <wp:docPr id="1743046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1F8850A1" w14:textId="64C1B14C" w:rsidR="004772E8" w:rsidRDefault="004772E8" w:rsidP="004772E8">
      <w:pPr>
        <w:autoSpaceDE w:val="0"/>
        <w:autoSpaceDN w:val="0"/>
        <w:adjustRightInd w:val="0"/>
        <w:spacing w:after="0" w:line="240" w:lineRule="auto"/>
        <w:rPr>
          <w:rFonts w:ascii="ACaslonPro-Regular" w:eastAsia="ACaslonPro-Regular" w:cs="ACaslonPro-Regular"/>
          <w:kern w:val="0"/>
          <w:sz w:val="20"/>
          <w:szCs w:val="20"/>
        </w:rPr>
      </w:pPr>
      <w:r w:rsidRPr="004772E8">
        <w:rPr>
          <w:rFonts w:ascii="ACaslonPro-Regular" w:eastAsia="ACaslonPro-Regular" w:cs="ACaslonPro-Regular"/>
          <w:noProof/>
          <w:kern w:val="0"/>
          <w:sz w:val="20"/>
          <w:szCs w:val="20"/>
        </w:rPr>
        <w:drawing>
          <wp:inline distT="0" distB="0" distL="0" distR="0" wp14:anchorId="18D76846" wp14:editId="3E0023A2">
            <wp:extent cx="5943600" cy="3518535"/>
            <wp:effectExtent l="0" t="0" r="0" b="5715"/>
            <wp:docPr id="1787367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p>
    <w:p w14:paraId="6ADCE080" w14:textId="77777777" w:rsidR="009022F0" w:rsidRDefault="009022F0" w:rsidP="004772E8">
      <w:pPr>
        <w:autoSpaceDE w:val="0"/>
        <w:autoSpaceDN w:val="0"/>
        <w:adjustRightInd w:val="0"/>
        <w:spacing w:after="0" w:line="240" w:lineRule="auto"/>
        <w:rPr>
          <w:rFonts w:ascii="ACaslonPro-Regular" w:eastAsia="ACaslonPro-Regular" w:cs="ACaslonPro-Regular"/>
          <w:kern w:val="0"/>
          <w:sz w:val="20"/>
          <w:szCs w:val="20"/>
        </w:rPr>
      </w:pPr>
    </w:p>
    <w:p w14:paraId="50F1F52E" w14:textId="5BF76366" w:rsidR="009022F0" w:rsidRDefault="009022F0" w:rsidP="004772E8">
      <w:pPr>
        <w:autoSpaceDE w:val="0"/>
        <w:autoSpaceDN w:val="0"/>
        <w:adjustRightInd w:val="0"/>
        <w:spacing w:after="0" w:line="240" w:lineRule="auto"/>
        <w:rPr>
          <w:rFonts w:ascii="Asap-Bold" w:hAnsi="Asap-Bold" w:cs="Asap-Bold"/>
          <w:b/>
          <w:bCs/>
          <w:kern w:val="0"/>
          <w:sz w:val="24"/>
          <w:szCs w:val="24"/>
        </w:rPr>
      </w:pPr>
      <w:r>
        <w:rPr>
          <w:rFonts w:ascii="Asap-Bold" w:hAnsi="Asap-Bold" w:cs="Asap-Bold"/>
          <w:b/>
          <w:bCs/>
          <w:kern w:val="0"/>
          <w:sz w:val="24"/>
          <w:szCs w:val="24"/>
        </w:rPr>
        <w:t>Identification of centroids for each cluster</w:t>
      </w:r>
    </w:p>
    <w:p w14:paraId="03621CCD" w14:textId="38584988" w:rsidR="009022F0" w:rsidRPr="00350F50" w:rsidRDefault="009022F0" w:rsidP="004772E8">
      <w:pPr>
        <w:autoSpaceDE w:val="0"/>
        <w:autoSpaceDN w:val="0"/>
        <w:adjustRightInd w:val="0"/>
        <w:spacing w:after="0" w:line="240" w:lineRule="auto"/>
        <w:rPr>
          <w:rFonts w:ascii="ACaslonPro-Regular" w:eastAsia="ACaslonPro-Regular" w:cs="ACaslonPro-Regular"/>
          <w:kern w:val="0"/>
          <w:sz w:val="20"/>
          <w:szCs w:val="20"/>
        </w:rPr>
      </w:pPr>
      <w:r w:rsidRPr="009022F0">
        <w:rPr>
          <w:rFonts w:ascii="ACaslonPro-Regular" w:eastAsia="ACaslonPro-Regular" w:cs="ACaslonPro-Regular"/>
          <w:noProof/>
          <w:kern w:val="0"/>
          <w:sz w:val="20"/>
          <w:szCs w:val="20"/>
        </w:rPr>
        <w:lastRenderedPageBreak/>
        <w:drawing>
          <wp:inline distT="0" distB="0" distL="0" distR="0" wp14:anchorId="3F8F6074" wp14:editId="6C2B989E">
            <wp:extent cx="5943600" cy="2395855"/>
            <wp:effectExtent l="0" t="0" r="0" b="4445"/>
            <wp:docPr id="637215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sectPr w:rsidR="009022F0" w:rsidRPr="00350F50" w:rsidSect="004D1134">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CaslonPro-Regular">
    <w:altName w:val="Yu Gothic"/>
    <w:panose1 w:val="00000000000000000000"/>
    <w:charset w:val="80"/>
    <w:family w:val="roman"/>
    <w:notTrueType/>
    <w:pitch w:val="default"/>
    <w:sig w:usb0="00000003" w:usb1="08070000" w:usb2="00000010" w:usb3="00000000" w:csb0="0002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ap-Bold">
    <w:altName w:val="Calibri"/>
    <w:panose1 w:val="00000000000000000000"/>
    <w:charset w:val="00"/>
    <w:family w:val="swiss"/>
    <w:notTrueType/>
    <w:pitch w:val="default"/>
    <w:sig w:usb0="00000003" w:usb1="00000000" w:usb2="00000000" w:usb3="00000000" w:csb0="00000001" w:csb1="00000000"/>
  </w:font>
  <w:font w:name="ACaslonPro-BoldItalic">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75D4F"/>
    <w:multiLevelType w:val="hybridMultilevel"/>
    <w:tmpl w:val="5602FFA2"/>
    <w:lvl w:ilvl="0" w:tplc="E4DE9BC4">
      <w:start w:val="1"/>
      <w:numFmt w:val="decimal"/>
      <w:lvlText w:val="%1."/>
      <w:lvlJc w:val="left"/>
      <w:pPr>
        <w:ind w:left="720" w:hanging="360"/>
      </w:pPr>
      <w:rPr>
        <w:rFonts w:ascii="ACaslonPro-Regular" w:hAnsiTheme="minorHAnsi" w:cs="ACaslonPro-Regular"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B5183"/>
    <w:multiLevelType w:val="hybridMultilevel"/>
    <w:tmpl w:val="B99C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30E88"/>
    <w:multiLevelType w:val="hybridMultilevel"/>
    <w:tmpl w:val="582E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E3D39"/>
    <w:multiLevelType w:val="hybridMultilevel"/>
    <w:tmpl w:val="E7B46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3C1C38"/>
    <w:multiLevelType w:val="hybridMultilevel"/>
    <w:tmpl w:val="91AE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9671FB"/>
    <w:multiLevelType w:val="hybridMultilevel"/>
    <w:tmpl w:val="E8F6C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612BA5"/>
    <w:multiLevelType w:val="hybridMultilevel"/>
    <w:tmpl w:val="46D4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91FE6"/>
    <w:multiLevelType w:val="hybridMultilevel"/>
    <w:tmpl w:val="D80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4D187F"/>
    <w:multiLevelType w:val="hybridMultilevel"/>
    <w:tmpl w:val="0910E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B645F"/>
    <w:multiLevelType w:val="hybridMultilevel"/>
    <w:tmpl w:val="DFE4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1D0925"/>
    <w:multiLevelType w:val="hybridMultilevel"/>
    <w:tmpl w:val="8D6CD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EC7651"/>
    <w:multiLevelType w:val="hybridMultilevel"/>
    <w:tmpl w:val="BCFA3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C1701D"/>
    <w:multiLevelType w:val="hybridMultilevel"/>
    <w:tmpl w:val="74D20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0"/>
  </w:num>
  <w:num w:numId="5">
    <w:abstractNumId w:val="12"/>
  </w:num>
  <w:num w:numId="6">
    <w:abstractNumId w:val="2"/>
  </w:num>
  <w:num w:numId="7">
    <w:abstractNumId w:val="4"/>
  </w:num>
  <w:num w:numId="8">
    <w:abstractNumId w:val="11"/>
  </w:num>
  <w:num w:numId="9">
    <w:abstractNumId w:val="1"/>
  </w:num>
  <w:num w:numId="10">
    <w:abstractNumId w:val="7"/>
  </w:num>
  <w:num w:numId="11">
    <w:abstractNumId w:val="8"/>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9A"/>
    <w:rsid w:val="00001568"/>
    <w:rsid w:val="000111B9"/>
    <w:rsid w:val="00014114"/>
    <w:rsid w:val="001D398A"/>
    <w:rsid w:val="001D6CC7"/>
    <w:rsid w:val="00350F50"/>
    <w:rsid w:val="0039226E"/>
    <w:rsid w:val="00396943"/>
    <w:rsid w:val="003A0E88"/>
    <w:rsid w:val="003F6E27"/>
    <w:rsid w:val="004772E8"/>
    <w:rsid w:val="004827D5"/>
    <w:rsid w:val="00494E14"/>
    <w:rsid w:val="004D1134"/>
    <w:rsid w:val="004F76B1"/>
    <w:rsid w:val="00547BFD"/>
    <w:rsid w:val="006A0A07"/>
    <w:rsid w:val="006B65A2"/>
    <w:rsid w:val="006D76FE"/>
    <w:rsid w:val="006E6DFA"/>
    <w:rsid w:val="006F474C"/>
    <w:rsid w:val="00732DEE"/>
    <w:rsid w:val="00736165"/>
    <w:rsid w:val="0077673C"/>
    <w:rsid w:val="007B5A56"/>
    <w:rsid w:val="008304D6"/>
    <w:rsid w:val="0088560D"/>
    <w:rsid w:val="009022F0"/>
    <w:rsid w:val="00931824"/>
    <w:rsid w:val="009627DF"/>
    <w:rsid w:val="009D13F5"/>
    <w:rsid w:val="009D52F4"/>
    <w:rsid w:val="00A31D52"/>
    <w:rsid w:val="00A3319B"/>
    <w:rsid w:val="00A76178"/>
    <w:rsid w:val="00BE149C"/>
    <w:rsid w:val="00BE5D50"/>
    <w:rsid w:val="00CA2F54"/>
    <w:rsid w:val="00D15A6F"/>
    <w:rsid w:val="00D424FE"/>
    <w:rsid w:val="00D6158B"/>
    <w:rsid w:val="00DA56B7"/>
    <w:rsid w:val="00E43CBC"/>
    <w:rsid w:val="00EC76DB"/>
    <w:rsid w:val="00F05DD5"/>
    <w:rsid w:val="00F13302"/>
    <w:rsid w:val="00F34A5C"/>
    <w:rsid w:val="00F6639A"/>
    <w:rsid w:val="00FA0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CDF9"/>
  <w15:chartTrackingRefBased/>
  <w15:docId w15:val="{1C846245-C3C8-4DF7-BD57-F636E5E4E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39A"/>
    <w:pPr>
      <w:ind w:left="720"/>
      <w:contextualSpacing/>
    </w:pPr>
  </w:style>
  <w:style w:type="character" w:styleId="Hyperlink">
    <w:name w:val="Hyperlink"/>
    <w:basedOn w:val="DefaultParagraphFont"/>
    <w:uiPriority w:val="99"/>
    <w:unhideWhenUsed/>
    <w:rsid w:val="006A0A07"/>
    <w:rPr>
      <w:color w:val="0563C1" w:themeColor="hyperlink"/>
      <w:u w:val="single"/>
    </w:rPr>
  </w:style>
  <w:style w:type="character" w:styleId="UnresolvedMention">
    <w:name w:val="Unresolved Mention"/>
    <w:basedOn w:val="DefaultParagraphFont"/>
    <w:uiPriority w:val="99"/>
    <w:semiHidden/>
    <w:unhideWhenUsed/>
    <w:rsid w:val="006A0A07"/>
    <w:rPr>
      <w:color w:val="605E5C"/>
      <w:shd w:val="clear" w:color="auto" w:fill="E1DFDD"/>
    </w:rPr>
  </w:style>
  <w:style w:type="table" w:styleId="TableGrid">
    <w:name w:val="Table Grid"/>
    <w:basedOn w:val="TableNormal"/>
    <w:uiPriority w:val="39"/>
    <w:rsid w:val="006B6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Ansari</dc:creator>
  <cp:keywords/>
  <dc:description/>
  <cp:lastModifiedBy>Shubham</cp:lastModifiedBy>
  <cp:revision>11</cp:revision>
  <dcterms:created xsi:type="dcterms:W3CDTF">2023-08-30T07:26:00Z</dcterms:created>
  <dcterms:modified xsi:type="dcterms:W3CDTF">2023-10-21T03:56:00Z</dcterms:modified>
</cp:coreProperties>
</file>