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Project Overview for Client Meeting</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Introduction and Project Scope</w:t>
      </w:r>
    </w:p>
    <w:p>
      <w:pPr>
        <w:spacing w:after="120" w:line="276" w:lineRule="auto"/>
      </w:pPr>
      <w:r>
        <w:t>Project Alpha aims to develop a comprehensive software solution for Apex Corporation, targeting a go-live date of October 24, 2026. The primary objectives are to enhance operational efficiency, reduce costs, and improve customer satisfaction. Key stakeholders include the Apex Corporation management team, led by CEO, Emily Chen, and our project team, comprising representatives from development, design, and quality assurance. The project scope encompasses software development, testing, deployment, and post-implementation support, with a carefully estimated budget of $750,000, aligned with the detailed breakdown provided in the Project Budget and Timeline section. The projected timeline for this initiative is 20 weeks, allowing for thorough planning, execution, and delivery, while also acknowledging potential risks and mitigation strategies that will be closely monitored and addressed throughout the project lifecycle to ensure successful completion within the allocated timeframe and budget.</w:t>
      </w:r>
    </w:p>
    <w:p>
      <w:pPr>
        <w:pStyle w:val="Heading1"/>
        <w:keepNext/>
        <w:spacing w:before="280" w:after="120"/>
      </w:pPr>
      <w:r>
        <w:t>Project Budget and Timeline</w:t>
      </w:r>
    </w:p>
    <w:p>
      <w:pPr>
        <w:spacing w:after="120" w:line="276" w:lineRule="auto"/>
      </w:pPr>
      <w:r>
        <w:t>The project budget for Project Alpha is estimated to be $750,000, allocated across three phases: planning ($150,000), execution ($450,000), and review ($150,000). The projected timeline spans 20 weeks, with key milestones including:</w:t>
      </w:r>
    </w:p>
    <w:p>
      <w:pPr>
        <w:pStyle w:val="ListBullet"/>
        <w:spacing w:after="60"/>
      </w:pPr>
      <w:r>
        <w:t>Week 5: Completion of project planning and stakeholder approval</w:t>
      </w:r>
    </w:p>
    <w:p>
      <w:pPr>
        <w:pStyle w:val="ListBullet"/>
        <w:spacing w:after="60"/>
      </w:pPr>
      <w:r>
        <w:t>Week 10: Mid-point review and progress assessment</w:t>
      </w:r>
    </w:p>
    <w:p>
      <w:pPr>
        <w:pStyle w:val="ListBullet"/>
        <w:spacing w:after="60"/>
      </w:pPr>
      <w:r>
        <w:t>Week 15: Major deliverables completion</w:t>
      </w:r>
    </w:p>
    <w:p>
      <w:pPr>
        <w:pStyle w:val="ListBullet"/>
        <w:spacing w:after="60"/>
      </w:pPr>
      <w:r>
        <w:t>Week 18: Final review and testing</w:t>
      </w:r>
    </w:p>
    <w:p>
      <w:pPr>
        <w:pStyle w:val="ListBullet"/>
        <w:spacing w:after="60"/>
      </w:pPr>
      <w:r>
        <w:t>Week 20: Project completion and handover</w:t>
      </w:r>
    </w:p>
    <w:p>
      <w:pPr>
        <w:spacing w:after="120" w:line="276" w:lineRule="auto"/>
      </w:pPr>
      <w:r>
        <w:t>The budget and timeline are subject to change based on risk factors, including potential delays in stakeholder approval and unforeseen changes in project scope, which may impact the overall project cost by up to 10%.</w:t>
      </w:r>
    </w:p>
    <w:p>
      <w:pPr>
        <w:pStyle w:val="Heading1"/>
        <w:keepNext/>
        <w:spacing w:before="280" w:after="120"/>
      </w:pPr>
      <w:r>
        <w:t>Risks and Mitigation Strategies</w:t>
      </w:r>
    </w:p>
    <w:p>
      <w:pPr>
        <w:spacing w:after="120" w:line="276" w:lineRule="auto"/>
      </w:pPr>
      <w:r>
        <w:t>The following key risks have been identified for Project Alpha:</w:t>
      </w:r>
    </w:p>
    <w:p>
      <w:pPr>
        <w:pStyle w:val="ListBullet"/>
        <w:spacing w:after="60"/>
      </w:pPr>
      <w:r>
        <w:t>Delays in raw material delivery, mitigated by diversifying suppliers and maintaining a 2-month inventory buffer at a cost of $50,000.</w:t>
      </w:r>
    </w:p>
    <w:p>
      <w:pPr>
        <w:pStyle w:val="ListBullet"/>
        <w:spacing w:after="60"/>
      </w:pPr>
      <w:r>
        <w:t>Insufficient resource allocation, addressed by assigning a dedicated project manager and 5 full-time team members.</w:t>
      </w:r>
    </w:p>
    <w:p>
      <w:pPr>
        <w:pStyle w:val="ListBullet"/>
        <w:spacing w:after="60"/>
      </w:pPr>
      <w:r>
        <w:t>Potential technical issues, managed through regular system audits and a $15,000 contingency fund for emergency repairs.</w:t>
      </w:r>
    </w:p>
    <w:p>
      <w:pPr>
        <w:pStyle w:val="ListBullet"/>
        <w:spacing w:after="60"/>
      </w:pPr>
      <w:r>
        <w:t>Changes in market conditions, monitored through quarterly market research reviews to inform project adjustments as needed.</w:t>
      </w:r>
    </w:p>
    <w:p>
      <w:pPr>
        <w:pStyle w:val="ListBullet"/>
        <w:spacing w:after="60"/>
      </w:pPr>
      <w:r>
        <w:t>Communication breakdowns, mitigated by scheduling bi-weekly client progress updates and establishing a clear escalation procedure.</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Project Overview for Client Meeting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Project Overview for Client Meeting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